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18" w:type="dxa"/>
        <w:tblLayout w:type="fixed"/>
        <w:tblLook w:val="0000" w:firstRow="0" w:lastRow="0" w:firstColumn="0" w:lastColumn="0" w:noHBand="0" w:noVBand="0"/>
      </w:tblPr>
      <w:tblGrid>
        <w:gridCol w:w="4537"/>
        <w:gridCol w:w="5245"/>
      </w:tblGrid>
      <w:tr w:rsidR="007B4EF3" w:rsidRPr="00877AF1">
        <w:tblPrEx>
          <w:tblCellMar>
            <w:top w:w="0" w:type="dxa"/>
            <w:bottom w:w="0" w:type="dxa"/>
          </w:tblCellMar>
        </w:tblPrEx>
        <w:trPr>
          <w:cantSplit/>
        </w:trPr>
        <w:tc>
          <w:tcPr>
            <w:tcW w:w="4537" w:type="dxa"/>
          </w:tcPr>
          <w:p w:rsidR="007B4EF3" w:rsidRPr="00877AF1" w:rsidRDefault="007B4EF3">
            <w:pPr>
              <w:pStyle w:val="Heading1"/>
              <w:rPr>
                <w:lang w:val="pt-BR"/>
              </w:rPr>
            </w:pPr>
            <w:r w:rsidRPr="00877AF1">
              <w:rPr>
                <w:lang w:val="pt-BR"/>
              </w:rPr>
              <w:t>BỘ GIÁO DỤC VÀ ĐÀO TẠO-</w:t>
            </w:r>
          </w:p>
          <w:p w:rsidR="007B4EF3" w:rsidRPr="00877AF1" w:rsidRDefault="0073735B">
            <w:pPr>
              <w:pStyle w:val="BodyText"/>
              <w:rPr>
                <w:sz w:val="26"/>
                <w:szCs w:val="26"/>
              </w:rPr>
            </w:pPr>
            <w:r w:rsidRPr="00877AF1">
              <w:rPr>
                <w:sz w:val="26"/>
                <w:szCs w:val="26"/>
              </w:rPr>
              <w:t>BỘ LAO ĐỘNG-</w:t>
            </w:r>
            <w:r w:rsidR="007B4EF3" w:rsidRPr="00877AF1">
              <w:rPr>
                <w:sz w:val="26"/>
                <w:szCs w:val="26"/>
              </w:rPr>
              <w:t>THƯƠNG BINH VÀ XÃ HỘI</w:t>
            </w:r>
            <w:r w:rsidR="003F0A20" w:rsidRPr="00877AF1">
              <w:rPr>
                <w:sz w:val="26"/>
                <w:szCs w:val="26"/>
              </w:rPr>
              <w:t xml:space="preserve">- BỘ TÀI CHÍNH </w:t>
            </w:r>
          </w:p>
          <w:p w:rsidR="007B4EF3" w:rsidRPr="00877AF1" w:rsidRDefault="007B4EF3">
            <w:pPr>
              <w:jc w:val="center"/>
              <w:rPr>
                <w:color w:val="000000"/>
                <w:sz w:val="26"/>
                <w:szCs w:val="26"/>
              </w:rPr>
            </w:pPr>
            <w:r w:rsidRPr="00877AF1">
              <w:rPr>
                <w:b/>
                <w:bCs/>
                <w:color w:val="000000"/>
                <w:position w:val="6"/>
                <w:sz w:val="26"/>
                <w:szCs w:val="26"/>
              </w:rPr>
              <w:t xml:space="preserve"> </w:t>
            </w:r>
            <w:r w:rsidRPr="00877AF1">
              <w:rPr>
                <w:color w:val="000000"/>
                <w:sz w:val="26"/>
                <w:szCs w:val="26"/>
              </w:rPr>
              <w:t xml:space="preserve">  ___</w:t>
            </w:r>
            <w:r w:rsidR="003F0A20" w:rsidRPr="00877AF1">
              <w:rPr>
                <w:color w:val="000000"/>
                <w:sz w:val="26"/>
                <w:szCs w:val="26"/>
              </w:rPr>
              <w:t>_____________</w:t>
            </w:r>
            <w:r w:rsidRPr="00877AF1">
              <w:rPr>
                <w:color w:val="000000"/>
                <w:sz w:val="26"/>
                <w:szCs w:val="26"/>
              </w:rPr>
              <w:t>_</w:t>
            </w:r>
          </w:p>
          <w:p w:rsidR="007B4EF3" w:rsidRPr="00877AF1" w:rsidRDefault="003F0A20" w:rsidP="003F0A20">
            <w:pPr>
              <w:pStyle w:val="BodyText2"/>
              <w:rPr>
                <w:rFonts w:ascii="Times New Roman" w:hAnsi="Times New Roman" w:cs="Times New Roman"/>
                <w:sz w:val="26"/>
                <w:szCs w:val="26"/>
              </w:rPr>
            </w:pPr>
            <w:r w:rsidRPr="00877AF1">
              <w:rPr>
                <w:rFonts w:ascii="Times New Roman" w:hAnsi="Times New Roman" w:cs="Times New Roman"/>
                <w:sz w:val="26"/>
                <w:szCs w:val="26"/>
              </w:rPr>
              <w:t xml:space="preserve">Số:  </w:t>
            </w:r>
            <w:r w:rsidR="00B55A4C" w:rsidRPr="00877AF1">
              <w:rPr>
                <w:rFonts w:ascii="Times New Roman" w:hAnsi="Times New Roman" w:cs="Times New Roman"/>
                <w:b/>
                <w:bCs/>
                <w:sz w:val="26"/>
                <w:szCs w:val="26"/>
              </w:rPr>
              <w:t>23</w:t>
            </w:r>
            <w:r w:rsidRPr="00877AF1">
              <w:rPr>
                <w:rFonts w:ascii="Times New Roman" w:hAnsi="Times New Roman" w:cs="Times New Roman"/>
                <w:b/>
                <w:bCs/>
                <w:sz w:val="26"/>
                <w:szCs w:val="26"/>
              </w:rPr>
              <w:t xml:space="preserve"> </w:t>
            </w:r>
            <w:r w:rsidRPr="00877AF1">
              <w:rPr>
                <w:rFonts w:ascii="Times New Roman" w:hAnsi="Times New Roman" w:cs="Times New Roman"/>
                <w:sz w:val="26"/>
                <w:szCs w:val="26"/>
              </w:rPr>
              <w:t xml:space="preserve">/2008/TTLT/BGDĐT-BLĐTBXH-BTC </w:t>
            </w:r>
          </w:p>
          <w:p w:rsidR="007B4EF3" w:rsidRPr="00877AF1" w:rsidRDefault="007B4EF3">
            <w:pPr>
              <w:jc w:val="center"/>
              <w:rPr>
                <w:color w:val="000000"/>
                <w:sz w:val="26"/>
                <w:szCs w:val="26"/>
              </w:rPr>
            </w:pPr>
          </w:p>
        </w:tc>
        <w:tc>
          <w:tcPr>
            <w:tcW w:w="5245" w:type="dxa"/>
          </w:tcPr>
          <w:p w:rsidR="007B4EF3" w:rsidRPr="00877AF1" w:rsidRDefault="007B4EF3">
            <w:pPr>
              <w:pStyle w:val="Heading2"/>
            </w:pPr>
            <w:r w:rsidRPr="00877AF1">
              <w:t>CỘNG HOÀ XÃ HỘI CHỦ NGHĨA VIỆT NAM</w:t>
            </w:r>
          </w:p>
          <w:p w:rsidR="007B4EF3" w:rsidRPr="00877AF1" w:rsidRDefault="007B4EF3">
            <w:pPr>
              <w:jc w:val="center"/>
              <w:rPr>
                <w:color w:val="000000"/>
                <w:sz w:val="26"/>
                <w:szCs w:val="26"/>
                <w:lang w:val="pt-BR"/>
              </w:rPr>
            </w:pPr>
            <w:r w:rsidRPr="00877AF1">
              <w:rPr>
                <w:b/>
                <w:bCs/>
                <w:color w:val="000000"/>
                <w:sz w:val="26"/>
                <w:szCs w:val="26"/>
                <w:lang w:val="pt-BR"/>
              </w:rPr>
              <w:t>Độc lập - Tự do - Hạnh phúc</w:t>
            </w:r>
          </w:p>
          <w:p w:rsidR="007B4EF3" w:rsidRPr="00877AF1" w:rsidRDefault="007B4EF3">
            <w:pPr>
              <w:jc w:val="center"/>
              <w:rPr>
                <w:color w:val="000000"/>
                <w:sz w:val="26"/>
                <w:szCs w:val="26"/>
                <w:vertAlign w:val="superscript"/>
              </w:rPr>
            </w:pPr>
            <w:r w:rsidRPr="00877AF1">
              <w:rPr>
                <w:color w:val="000000"/>
                <w:position w:val="6"/>
                <w:sz w:val="26"/>
                <w:szCs w:val="26"/>
                <w:vertAlign w:val="superscript"/>
              </w:rPr>
              <w:t>_____________________________</w:t>
            </w:r>
          </w:p>
          <w:p w:rsidR="007B4EF3" w:rsidRPr="00877AF1" w:rsidRDefault="007B4EF3">
            <w:pPr>
              <w:pStyle w:val="Heading3"/>
              <w:rPr>
                <w:b w:val="0"/>
                <w:bCs w:val="0"/>
                <w:i/>
                <w:iCs/>
                <w:sz w:val="26"/>
                <w:szCs w:val="26"/>
              </w:rPr>
            </w:pPr>
            <w:r w:rsidRPr="00877AF1">
              <w:rPr>
                <w:i/>
                <w:iCs/>
                <w:sz w:val="26"/>
                <w:szCs w:val="26"/>
              </w:rPr>
              <w:t xml:space="preserve">  </w:t>
            </w:r>
            <w:r w:rsidR="003F0A20" w:rsidRPr="00877AF1">
              <w:rPr>
                <w:i/>
                <w:iCs/>
                <w:sz w:val="26"/>
                <w:szCs w:val="26"/>
              </w:rPr>
              <w:t xml:space="preserve">     </w:t>
            </w:r>
            <w:r w:rsidRPr="00877AF1">
              <w:rPr>
                <w:i/>
                <w:iCs/>
                <w:sz w:val="26"/>
                <w:szCs w:val="26"/>
              </w:rPr>
              <w:t xml:space="preserve">   </w:t>
            </w:r>
            <w:r w:rsidRPr="00877AF1">
              <w:rPr>
                <w:b w:val="0"/>
                <w:bCs w:val="0"/>
                <w:i/>
                <w:iCs/>
                <w:sz w:val="26"/>
                <w:szCs w:val="26"/>
              </w:rPr>
              <w:t xml:space="preserve">Hà Nội, ngày </w:t>
            </w:r>
            <w:r w:rsidR="00B55A4C" w:rsidRPr="00877AF1">
              <w:rPr>
                <w:b w:val="0"/>
                <w:bCs w:val="0"/>
                <w:i/>
                <w:iCs/>
                <w:sz w:val="26"/>
                <w:szCs w:val="26"/>
              </w:rPr>
              <w:t>28</w:t>
            </w:r>
            <w:r w:rsidRPr="00877AF1">
              <w:rPr>
                <w:b w:val="0"/>
                <w:bCs w:val="0"/>
                <w:i/>
                <w:iCs/>
                <w:sz w:val="26"/>
                <w:szCs w:val="26"/>
              </w:rPr>
              <w:t xml:space="preserve">  tháng </w:t>
            </w:r>
            <w:r w:rsidR="00B55A4C" w:rsidRPr="00877AF1">
              <w:rPr>
                <w:b w:val="0"/>
                <w:bCs w:val="0"/>
                <w:i/>
                <w:iCs/>
                <w:sz w:val="26"/>
                <w:szCs w:val="26"/>
              </w:rPr>
              <w:t>04</w:t>
            </w:r>
            <w:r w:rsidRPr="00877AF1">
              <w:rPr>
                <w:b w:val="0"/>
                <w:bCs w:val="0"/>
                <w:i/>
                <w:iCs/>
                <w:sz w:val="26"/>
                <w:szCs w:val="26"/>
              </w:rPr>
              <w:t xml:space="preserve">  năm 2008</w:t>
            </w:r>
          </w:p>
        </w:tc>
      </w:tr>
    </w:tbl>
    <w:p w:rsidR="007B4EF3" w:rsidRDefault="007B4EF3">
      <w:pPr>
        <w:pStyle w:val="Heading4"/>
        <w:spacing w:before="120"/>
        <w:ind w:firstLine="720"/>
        <w:rPr>
          <w:rFonts w:ascii="Times New Roman" w:hAnsi="Times New Roman" w:cs="Times New Roman"/>
        </w:rPr>
      </w:pPr>
      <w:r>
        <w:rPr>
          <w:rFonts w:ascii="Times New Roman" w:hAnsi="Times New Roman" w:cs="Times New Roman"/>
        </w:rPr>
        <w:t>THÔNG TƯ LIÊN TỊCH</w:t>
      </w:r>
    </w:p>
    <w:p w:rsidR="007B4EF3" w:rsidRDefault="007B4EF3">
      <w:pPr>
        <w:pStyle w:val="BodyText3"/>
        <w:rPr>
          <w:b/>
          <w:bCs/>
        </w:rPr>
      </w:pPr>
      <w:r>
        <w:rPr>
          <w:b/>
          <w:bCs/>
        </w:rPr>
        <w:t xml:space="preserve">Hướng dẫn thực hiện Quyết định số 152/2007/QĐ-TTg ngày 14 tháng 9 năm </w:t>
      </w:r>
      <w:r w:rsidR="00CA5E71">
        <w:rPr>
          <w:b/>
          <w:bCs/>
        </w:rPr>
        <w:t>2007 của Thủ tướng Chính phủ về</w:t>
      </w:r>
      <w:r>
        <w:rPr>
          <w:b/>
          <w:bCs/>
        </w:rPr>
        <w:t xml:space="preserve"> học bổng chính sách đối với học sinh,</w:t>
      </w:r>
      <w:r w:rsidR="00877AF1">
        <w:rPr>
          <w:b/>
          <w:bCs/>
        </w:rPr>
        <w:t xml:space="preserve"> </w:t>
      </w:r>
      <w:r>
        <w:rPr>
          <w:b/>
          <w:bCs/>
        </w:rPr>
        <w:t>sinh viên học tại các cơ sở giáo dục thuộc hệ thống giáo dục quốc dân</w:t>
      </w:r>
    </w:p>
    <w:p w:rsidR="007B4EF3" w:rsidRDefault="007B4EF3">
      <w:pPr>
        <w:pStyle w:val="BodyText3"/>
        <w:rPr>
          <w:b/>
          <w:bCs/>
        </w:rPr>
      </w:pPr>
    </w:p>
    <w:p w:rsidR="007B4EF3" w:rsidRDefault="007B4EF3">
      <w:pPr>
        <w:pStyle w:val="BodyText3"/>
        <w:rPr>
          <w:b/>
          <w:bCs/>
        </w:rPr>
      </w:pPr>
    </w:p>
    <w:p w:rsidR="007B4EF3" w:rsidRDefault="007B4EF3" w:rsidP="004F4E3A">
      <w:pPr>
        <w:pStyle w:val="BodyText3"/>
        <w:spacing w:line="380" w:lineRule="atLeast"/>
        <w:ind w:firstLine="720"/>
        <w:jc w:val="both"/>
      </w:pPr>
      <w:r>
        <w:t>Căn cứ Quyết định số 152/2007/QĐ-TTg ngày 14 tháng 9 năm 2007 của Thủ tướng Chính phủ về học bổng chính sách đối với học sinh, sinh viên học tại các cơ sở giáo dục thuộc hệ thống giáo dục quốc dân, Bộ Giáo dục và Đào tạo</w:t>
      </w:r>
      <w:r w:rsidR="00B51D17">
        <w:t>,</w:t>
      </w:r>
      <w:r>
        <w:t xml:space="preserve"> Bộ Lao động-Thương binh và Xã hội </w:t>
      </w:r>
      <w:r w:rsidR="002B10FA">
        <w:t xml:space="preserve">và Bộ Tài chính </w:t>
      </w:r>
      <w:r>
        <w:t>hướng dẫn thực hiện như sau:</w:t>
      </w:r>
    </w:p>
    <w:p w:rsidR="007B4EF3" w:rsidRDefault="007B4EF3" w:rsidP="004F4E3A">
      <w:pPr>
        <w:pStyle w:val="BodyTextIndent"/>
        <w:spacing w:before="0" w:line="380" w:lineRule="atLeast"/>
        <w:ind w:firstLine="0"/>
        <w:rPr>
          <w:b/>
          <w:bCs/>
        </w:rPr>
      </w:pPr>
      <w:r>
        <w:rPr>
          <w:b/>
          <w:bCs/>
        </w:rPr>
        <w:t>I. ĐỐI TƯỢNG ÁP DỤNG</w:t>
      </w:r>
    </w:p>
    <w:p w:rsidR="00F05F30" w:rsidRPr="00F05F30" w:rsidRDefault="00F05F30" w:rsidP="004F4E3A">
      <w:pPr>
        <w:pStyle w:val="BodyTextIndent"/>
        <w:spacing w:before="0" w:line="380" w:lineRule="atLeast"/>
        <w:ind w:firstLine="0"/>
      </w:pPr>
      <w:r>
        <w:rPr>
          <w:b/>
          <w:bCs/>
        </w:rPr>
        <w:tab/>
      </w:r>
      <w:r w:rsidRPr="00F05F30">
        <w:t>Đối tượng được hưởng họ</w:t>
      </w:r>
      <w:r>
        <w:t>c bổng chính sách quy định tại khoản 1 Điều 1 Quyết định số 152/2007/QĐ-TTg ngày 14 tháng 9 năm 2007 của Thủ tướng Chính phủ về học bổng chính sách đối với học sinh, sinh viên học tại các cơ sở giáo dục thuộc hệ thống giáo dục quốc dân được hướng dẫn cụ thể như sau:</w:t>
      </w:r>
    </w:p>
    <w:p w:rsidR="007B4EF3" w:rsidRPr="003F0A20" w:rsidRDefault="00340460" w:rsidP="004F4E3A">
      <w:pPr>
        <w:pStyle w:val="BodyTextIndent"/>
        <w:spacing w:before="0" w:line="380" w:lineRule="atLeast"/>
      </w:pPr>
      <w:r>
        <w:t xml:space="preserve">1. </w:t>
      </w:r>
      <w:r w:rsidR="00CF5A6A">
        <w:t>H</w:t>
      </w:r>
      <w:r w:rsidR="007B4EF3">
        <w:t xml:space="preserve">ọc </w:t>
      </w:r>
      <w:r w:rsidR="00FB55A7">
        <w:t>sinh, sinh viên hệ cử tuyển được</w:t>
      </w:r>
      <w:r w:rsidR="007B4EF3">
        <w:t xml:space="preserve"> quy định</w:t>
      </w:r>
      <w:r w:rsidR="0036181B">
        <w:t xml:space="preserve"> </w:t>
      </w:r>
      <w:r w:rsidR="00FB55A7">
        <w:t>tại</w:t>
      </w:r>
      <w:r w:rsidR="0036181B">
        <w:t xml:space="preserve"> Nghị định số 134/2006/NĐ-CP ngày 14 tháng 11 năm 2006 của Chính phủ </w:t>
      </w:r>
      <w:r w:rsidR="00255D70">
        <w:t>q</w:t>
      </w:r>
      <w:r w:rsidR="0036181B" w:rsidRPr="003F0A20">
        <w:t>uy định chế độ cử tuyển vào các cơ sở giáo dục trình độ đại học, cao đẳng, trung cấp thuộc hệ thống giáo dục quốc dân</w:t>
      </w:r>
      <w:r w:rsidR="007B4EF3" w:rsidRPr="003F0A20">
        <w:t>.</w:t>
      </w:r>
    </w:p>
    <w:p w:rsidR="007B4EF3" w:rsidRDefault="007B4EF3" w:rsidP="004F4E3A">
      <w:pPr>
        <w:spacing w:line="380" w:lineRule="atLeast"/>
        <w:ind w:firstLine="720"/>
        <w:jc w:val="both"/>
      </w:pPr>
      <w:r>
        <w:t>2</w:t>
      </w:r>
      <w:r w:rsidR="00340460">
        <w:t>. H</w:t>
      </w:r>
      <w:r>
        <w:t>ọc sinh, sinh viên đang học tại các trường phổ thông dân tộc nội trú, trường dự bị đạ</w:t>
      </w:r>
      <w:r w:rsidR="00FB55A7">
        <w:t>i học</w:t>
      </w:r>
      <w:r w:rsidR="007A7BFC">
        <w:t>,</w:t>
      </w:r>
      <w:r w:rsidR="00FB55A7">
        <w:t xml:space="preserve"> </w:t>
      </w:r>
      <w:r w:rsidR="0082286A">
        <w:t xml:space="preserve">trừ </w:t>
      </w:r>
      <w:r>
        <w:t>học sinh, sinh viên là người dân tộc thiểu số đang được hưởng chế độ học bổng chính sách quy định tại Quyết định số 82/2006/QĐ-TTg ngày 14 tháng 4 năm 2006 của Thủ tướng Chính phủ</w:t>
      </w:r>
      <w:r w:rsidR="00255D70">
        <w:t xml:space="preserve"> </w:t>
      </w:r>
      <w:r w:rsidR="007A7BFC">
        <w:t>v</w:t>
      </w:r>
      <w:r w:rsidR="007554D8">
        <w:t>ề việc điều chỉnh mức học bổng chính sách đối với học sinh, sinh viên là người dân tộc thiểu số học tại các trường phổ thông dân tộc nội trú  và trường dự bị đại học quy định tại Quyết định số 194/2001/QĐ-TTg ngày 21 tháng 12 năm 2001 của Thủ tướng Chính phủ</w:t>
      </w:r>
      <w:r>
        <w:t>.</w:t>
      </w:r>
    </w:p>
    <w:p w:rsidR="007B4EF3" w:rsidRDefault="007B4EF3" w:rsidP="004F4E3A">
      <w:pPr>
        <w:pStyle w:val="BodyTextIndent"/>
        <w:spacing w:before="0" w:line="380" w:lineRule="atLeast"/>
      </w:pPr>
      <w:r w:rsidRPr="00340460">
        <w:t>3</w:t>
      </w:r>
      <w:r w:rsidR="00340460">
        <w:t>. H</w:t>
      </w:r>
      <w:r w:rsidR="00FB55A7" w:rsidRPr="00340460">
        <w:t>ọc</w:t>
      </w:r>
      <w:r w:rsidR="00FB55A7">
        <w:t xml:space="preserve"> viên </w:t>
      </w:r>
      <w:r w:rsidR="00340460">
        <w:t xml:space="preserve">là </w:t>
      </w:r>
      <w:r>
        <w:t>thương binh, người tàn tật, người khuyết tật thuộc diện không hưởng lương hoặc sinh hoạt phí trong thời gian đang học tại các trường dạy nghề dành cho thương binh, người tàn tật, người khuyết tật.</w:t>
      </w:r>
    </w:p>
    <w:p w:rsidR="00F05F30" w:rsidRDefault="00F05F30" w:rsidP="004F4E3A">
      <w:pPr>
        <w:pStyle w:val="Footer"/>
        <w:tabs>
          <w:tab w:val="clear" w:pos="4320"/>
          <w:tab w:val="clear" w:pos="8640"/>
        </w:tabs>
        <w:spacing w:line="380" w:lineRule="atLeast"/>
        <w:jc w:val="both"/>
        <w:rPr>
          <w:b/>
          <w:bCs/>
          <w:lang w:val="en-US"/>
        </w:rPr>
      </w:pPr>
    </w:p>
    <w:p w:rsidR="00340460" w:rsidRDefault="00340460" w:rsidP="004F4E3A">
      <w:pPr>
        <w:pStyle w:val="Footer"/>
        <w:tabs>
          <w:tab w:val="clear" w:pos="4320"/>
          <w:tab w:val="clear" w:pos="8640"/>
        </w:tabs>
        <w:spacing w:line="380" w:lineRule="atLeast"/>
        <w:jc w:val="both"/>
        <w:rPr>
          <w:b/>
          <w:bCs/>
          <w:lang w:val="en-US"/>
        </w:rPr>
      </w:pPr>
    </w:p>
    <w:p w:rsidR="007B4EF3" w:rsidRDefault="007B4EF3" w:rsidP="004F4E3A">
      <w:pPr>
        <w:pStyle w:val="Footer"/>
        <w:tabs>
          <w:tab w:val="clear" w:pos="4320"/>
          <w:tab w:val="clear" w:pos="8640"/>
        </w:tabs>
        <w:spacing w:line="380" w:lineRule="atLeast"/>
        <w:jc w:val="both"/>
        <w:rPr>
          <w:b/>
          <w:bCs/>
          <w:lang w:val="en-US"/>
        </w:rPr>
      </w:pPr>
      <w:r>
        <w:rPr>
          <w:b/>
          <w:bCs/>
          <w:lang w:val="en-US"/>
        </w:rPr>
        <w:t>II. MỨC HỌC BỔNG CHÍNH SÁCH</w:t>
      </w:r>
    </w:p>
    <w:p w:rsidR="00F05F30" w:rsidRPr="00F05F30" w:rsidRDefault="00F05F30" w:rsidP="004F4E3A">
      <w:pPr>
        <w:pStyle w:val="Footer"/>
        <w:tabs>
          <w:tab w:val="clear" w:pos="4320"/>
          <w:tab w:val="clear" w:pos="8640"/>
        </w:tabs>
        <w:spacing w:line="380" w:lineRule="atLeast"/>
        <w:jc w:val="both"/>
        <w:rPr>
          <w:lang w:val="en-US"/>
        </w:rPr>
      </w:pPr>
      <w:r>
        <w:rPr>
          <w:b/>
          <w:bCs/>
          <w:lang w:val="en-US"/>
        </w:rPr>
        <w:tab/>
      </w:r>
      <w:r w:rsidRPr="00F05F30">
        <w:rPr>
          <w:lang w:val="en-US"/>
        </w:rPr>
        <w:t xml:space="preserve">Mức học bổng chính sách quy định tại khoản 2 Điều 1 và </w:t>
      </w:r>
      <w:r>
        <w:rPr>
          <w:lang w:val="en-US"/>
        </w:rPr>
        <w:t xml:space="preserve"> </w:t>
      </w:r>
      <w:r w:rsidRPr="00F05F30">
        <w:rPr>
          <w:lang w:val="en-US"/>
        </w:rPr>
        <w:t xml:space="preserve">Điều 2 </w:t>
      </w:r>
      <w:r>
        <w:t>Quyết định số 152/2007/QĐ-TTg ngày 14 tháng 9 năm 2007 của Thủ tướng Chính phủ về học bổng chính sách đối với học sinh, sinh viên học tại các cơ sở giáo dục thuộc hệ thống giáo dục quốc dân được hướng dẫn cụ thể như sau:</w:t>
      </w:r>
    </w:p>
    <w:p w:rsidR="007B4EF3" w:rsidRDefault="007B4EF3" w:rsidP="00FB55A7">
      <w:pPr>
        <w:pStyle w:val="Footer"/>
        <w:tabs>
          <w:tab w:val="clear" w:pos="4320"/>
          <w:tab w:val="clear" w:pos="8640"/>
        </w:tabs>
        <w:spacing w:line="380" w:lineRule="atLeast"/>
        <w:ind w:firstLine="720"/>
        <w:jc w:val="both"/>
        <w:rPr>
          <w:lang w:val="en-US"/>
        </w:rPr>
      </w:pPr>
      <w:r>
        <w:rPr>
          <w:lang w:val="en-US"/>
        </w:rPr>
        <w:t xml:space="preserve"> </w:t>
      </w:r>
      <w:r w:rsidR="00FB55A7">
        <w:rPr>
          <w:lang w:val="en-US"/>
        </w:rPr>
        <w:t xml:space="preserve">1. Trong một năm học bổng được cấp đủ 12 tháng. </w:t>
      </w:r>
      <w:r>
        <w:rPr>
          <w:lang w:val="en-US"/>
        </w:rPr>
        <w:t>Đối với các ch</w:t>
      </w:r>
      <w:r w:rsidR="0082286A">
        <w:rPr>
          <w:lang w:val="en-US"/>
        </w:rPr>
        <w:t>ương trình đào tạo có thời gian</w:t>
      </w:r>
      <w:r>
        <w:rPr>
          <w:lang w:val="en-US"/>
        </w:rPr>
        <w:t xml:space="preserve"> dưới 01 năm hoặc có thời gian học năm cuối không đủ 12 tháng thì học bổng được cấp theo số tháng thực học của năm học đó.</w:t>
      </w:r>
    </w:p>
    <w:p w:rsidR="007B4EF3" w:rsidRDefault="00FB55A7" w:rsidP="004F4E3A">
      <w:pPr>
        <w:spacing w:line="380" w:lineRule="atLeast"/>
        <w:jc w:val="both"/>
        <w:rPr>
          <w:color w:val="000000"/>
          <w:lang w:val="sv-SE"/>
        </w:rPr>
      </w:pPr>
      <w:r>
        <w:rPr>
          <w:color w:val="000000"/>
          <w:lang w:val="sv-SE"/>
        </w:rPr>
        <w:t xml:space="preserve">           2</w:t>
      </w:r>
      <w:r w:rsidR="007B4EF3">
        <w:rPr>
          <w:color w:val="000000"/>
          <w:lang w:val="sv-SE"/>
        </w:rPr>
        <w:t xml:space="preserve">. </w:t>
      </w:r>
      <w:r w:rsidR="00FC6603">
        <w:rPr>
          <w:color w:val="000000"/>
          <w:lang w:val="sv-SE"/>
        </w:rPr>
        <w:t xml:space="preserve">Kể từ ngày </w:t>
      </w:r>
      <w:r w:rsidR="007A7BFC">
        <w:rPr>
          <w:color w:val="000000"/>
          <w:lang w:val="sv-SE"/>
        </w:rPr>
        <w:t>01</w:t>
      </w:r>
      <w:r w:rsidR="00FC6603">
        <w:rPr>
          <w:color w:val="000000"/>
          <w:lang w:val="sv-SE"/>
        </w:rPr>
        <w:t xml:space="preserve"> tháng 0</w:t>
      </w:r>
      <w:bookmarkStart w:id="0" w:name="_GoBack"/>
      <w:bookmarkEnd w:id="0"/>
      <w:r w:rsidR="00FC6603">
        <w:rPr>
          <w:color w:val="000000"/>
          <w:lang w:val="sv-SE"/>
        </w:rPr>
        <w:t xml:space="preserve">1 năm </w:t>
      </w:r>
      <w:r w:rsidR="007A7BFC">
        <w:rPr>
          <w:color w:val="000000"/>
          <w:lang w:val="sv-SE"/>
        </w:rPr>
        <w:t>2008, k</w:t>
      </w:r>
      <w:r w:rsidR="007B4EF3">
        <w:rPr>
          <w:color w:val="000000"/>
          <w:lang w:val="sv-SE"/>
        </w:rPr>
        <w:t>hi Nhà nước điều chỉnh mức lương tối thiểu chung thì mức học bổng chính sách được quy định tại Thông tư  này được điều chỉnh theo tỷ lệ tương ứng với các quyết định điều chỉnh mức lương tối thiểu chung của Nhà nước, bảo đảm mức học bổng chính sách bằng 80% mức lương tối thiểu.</w:t>
      </w:r>
    </w:p>
    <w:p w:rsidR="007B4EF3" w:rsidRPr="00F02FC4" w:rsidRDefault="007B4EF3" w:rsidP="004F4E3A">
      <w:pPr>
        <w:pStyle w:val="Footer"/>
        <w:tabs>
          <w:tab w:val="clear" w:pos="4320"/>
          <w:tab w:val="clear" w:pos="8640"/>
        </w:tabs>
        <w:spacing w:line="380" w:lineRule="atLeast"/>
        <w:jc w:val="both"/>
        <w:rPr>
          <w:b/>
          <w:bCs/>
          <w:lang w:val="sv-SE"/>
        </w:rPr>
      </w:pPr>
      <w:r w:rsidRPr="00F02FC4">
        <w:rPr>
          <w:b/>
          <w:bCs/>
          <w:lang w:val="sv-SE"/>
        </w:rPr>
        <w:t xml:space="preserve">III. HỒ SƠ, THỦ TỤC XÉT, CẤP  HỌC BỔNG CHÍNH SÁCH </w:t>
      </w:r>
    </w:p>
    <w:p w:rsidR="007B4EF3" w:rsidRDefault="007B4EF3" w:rsidP="004F4E3A">
      <w:pPr>
        <w:pStyle w:val="Heading5"/>
        <w:tabs>
          <w:tab w:val="left" w:pos="6760"/>
        </w:tabs>
        <w:spacing w:line="380" w:lineRule="atLeast"/>
        <w:ind w:firstLine="720"/>
        <w:rPr>
          <w:lang w:val="sv-SE"/>
        </w:rPr>
      </w:pPr>
      <w:r>
        <w:rPr>
          <w:lang w:val="sv-SE"/>
        </w:rPr>
        <w:t>1. Hồ sơ xét, cấp học bổng chính sách</w:t>
      </w:r>
      <w:r w:rsidR="00090D6A">
        <w:rPr>
          <w:lang w:val="sv-SE"/>
        </w:rPr>
        <w:tab/>
      </w:r>
    </w:p>
    <w:p w:rsidR="007B4EF3" w:rsidRPr="00F02FC4" w:rsidRDefault="00FC4A2E" w:rsidP="004F4E3A">
      <w:pPr>
        <w:spacing w:line="380" w:lineRule="atLeast"/>
        <w:rPr>
          <w:lang w:val="pt-BR"/>
        </w:rPr>
      </w:pPr>
      <w:r>
        <w:rPr>
          <w:lang w:val="sv-SE"/>
        </w:rPr>
        <w:tab/>
      </w:r>
      <w:r w:rsidR="007B4EF3" w:rsidRPr="00F02FC4">
        <w:rPr>
          <w:lang w:val="pt-BR"/>
        </w:rPr>
        <w:t>a) Bản sao giấy khai sinh;</w:t>
      </w:r>
    </w:p>
    <w:p w:rsidR="007B4EF3" w:rsidRPr="00F02FC4" w:rsidRDefault="007B4EF3" w:rsidP="004F4E3A">
      <w:pPr>
        <w:pStyle w:val="Footer"/>
        <w:tabs>
          <w:tab w:val="clear" w:pos="4320"/>
          <w:tab w:val="clear" w:pos="8640"/>
        </w:tabs>
        <w:spacing w:line="380" w:lineRule="atLeast"/>
        <w:jc w:val="both"/>
        <w:rPr>
          <w:lang w:val="pt-BR"/>
        </w:rPr>
      </w:pPr>
      <w:r w:rsidRPr="00F02FC4">
        <w:rPr>
          <w:lang w:val="pt-BR"/>
        </w:rPr>
        <w:t xml:space="preserve">          b) Bản sao </w:t>
      </w:r>
      <w:r w:rsidR="007554D8" w:rsidRPr="00F02FC4">
        <w:rPr>
          <w:lang w:val="pt-BR"/>
        </w:rPr>
        <w:t xml:space="preserve">hợp lệ </w:t>
      </w:r>
      <w:r w:rsidR="00DB61DA" w:rsidRPr="00F02FC4">
        <w:rPr>
          <w:lang w:val="pt-BR"/>
        </w:rPr>
        <w:t>giấy báo trúng tuyển</w:t>
      </w:r>
      <w:r w:rsidRPr="00F02FC4">
        <w:rPr>
          <w:lang w:val="pt-BR"/>
        </w:rPr>
        <w:t>;</w:t>
      </w:r>
    </w:p>
    <w:p w:rsidR="007B4EF3" w:rsidRPr="00F02FC4" w:rsidRDefault="007B4EF3" w:rsidP="004F4E3A">
      <w:pPr>
        <w:pStyle w:val="Footer"/>
        <w:tabs>
          <w:tab w:val="clear" w:pos="4320"/>
          <w:tab w:val="clear" w:pos="8640"/>
        </w:tabs>
        <w:spacing w:line="380" w:lineRule="atLeast"/>
        <w:ind w:left="720"/>
        <w:jc w:val="both"/>
        <w:rPr>
          <w:lang w:val="pt-BR"/>
        </w:rPr>
      </w:pPr>
      <w:r w:rsidRPr="00F02FC4">
        <w:rPr>
          <w:lang w:val="pt-BR"/>
        </w:rPr>
        <w:t>c) Giấy xá</w:t>
      </w:r>
      <w:r w:rsidR="007554D8" w:rsidRPr="00F02FC4">
        <w:rPr>
          <w:lang w:val="pt-BR"/>
        </w:rPr>
        <w:t>c nhận của cơ sở giáo dục (Phụ lục I</w:t>
      </w:r>
      <w:r w:rsidRPr="00F02FC4">
        <w:rPr>
          <w:lang w:val="pt-BR"/>
        </w:rPr>
        <w:t>);</w:t>
      </w:r>
    </w:p>
    <w:p w:rsidR="007B4EF3" w:rsidRPr="00F02FC4" w:rsidRDefault="007B4EF3" w:rsidP="004F4E3A">
      <w:pPr>
        <w:pStyle w:val="Footer"/>
        <w:tabs>
          <w:tab w:val="clear" w:pos="4320"/>
          <w:tab w:val="clear" w:pos="8640"/>
        </w:tabs>
        <w:spacing w:line="380" w:lineRule="atLeast"/>
        <w:ind w:left="720"/>
        <w:jc w:val="both"/>
        <w:rPr>
          <w:lang w:val="pt-BR"/>
        </w:rPr>
      </w:pPr>
      <w:r w:rsidRPr="00F02FC4">
        <w:rPr>
          <w:lang w:val="pt-BR"/>
        </w:rPr>
        <w:t>d) Bản cam kết của học s</w:t>
      </w:r>
      <w:r w:rsidR="007554D8" w:rsidRPr="00F02FC4">
        <w:rPr>
          <w:lang w:val="pt-BR"/>
        </w:rPr>
        <w:t>inh, sinh viên (Phụ lục II</w:t>
      </w:r>
      <w:r w:rsidR="003F0A20" w:rsidRPr="00F02FC4">
        <w:rPr>
          <w:lang w:val="pt-BR"/>
        </w:rPr>
        <w:t>);</w:t>
      </w:r>
    </w:p>
    <w:p w:rsidR="003F0A20" w:rsidRDefault="003F0A20" w:rsidP="004F4E3A">
      <w:pPr>
        <w:pStyle w:val="Footer"/>
        <w:tabs>
          <w:tab w:val="clear" w:pos="4320"/>
          <w:tab w:val="clear" w:pos="8640"/>
        </w:tabs>
        <w:spacing w:line="380" w:lineRule="atLeast"/>
        <w:ind w:left="720"/>
        <w:jc w:val="both"/>
        <w:rPr>
          <w:lang w:val="en-US"/>
        </w:rPr>
      </w:pPr>
      <w:r>
        <w:rPr>
          <w:lang w:val="en-US"/>
        </w:rPr>
        <w:t xml:space="preserve">đ) </w:t>
      </w:r>
      <w:r w:rsidR="004A2C9F">
        <w:rPr>
          <w:lang w:val="en-US"/>
        </w:rPr>
        <w:t xml:space="preserve">Bản sao </w:t>
      </w:r>
      <w:r w:rsidR="007554D8">
        <w:rPr>
          <w:lang w:val="en-US"/>
        </w:rPr>
        <w:t xml:space="preserve">hợp lệ </w:t>
      </w:r>
      <w:r w:rsidR="004A2C9F">
        <w:rPr>
          <w:lang w:val="en-US"/>
        </w:rPr>
        <w:t xml:space="preserve">thẻ thương binh (đối với thương binh); </w:t>
      </w:r>
    </w:p>
    <w:p w:rsidR="004A2C9F" w:rsidRDefault="007554D8" w:rsidP="004F4E3A">
      <w:pPr>
        <w:pStyle w:val="Footer"/>
        <w:tabs>
          <w:tab w:val="clear" w:pos="4320"/>
          <w:tab w:val="clear" w:pos="8640"/>
        </w:tabs>
        <w:spacing w:line="380" w:lineRule="atLeast"/>
        <w:jc w:val="both"/>
        <w:rPr>
          <w:lang w:val="en-US"/>
        </w:rPr>
      </w:pPr>
      <w:r>
        <w:rPr>
          <w:lang w:val="en-US"/>
        </w:rPr>
        <w:t xml:space="preserve">          e) </w:t>
      </w:r>
      <w:r w:rsidR="004A2C9F">
        <w:rPr>
          <w:lang w:val="en-US"/>
        </w:rPr>
        <w:t>Giấy xác nhận của cơ quan có thẩm q</w:t>
      </w:r>
      <w:r>
        <w:rPr>
          <w:lang w:val="en-US"/>
        </w:rPr>
        <w:t xml:space="preserve">uyền xác nhận là người tàn tật, </w:t>
      </w:r>
      <w:r w:rsidR="004A2C9F">
        <w:rPr>
          <w:lang w:val="en-US"/>
        </w:rPr>
        <w:t>khuyết tật</w:t>
      </w:r>
      <w:r w:rsidR="00B51D17">
        <w:rPr>
          <w:lang w:val="en-US"/>
        </w:rPr>
        <w:t xml:space="preserve"> (đối với </w:t>
      </w:r>
      <w:r w:rsidR="008248DF">
        <w:rPr>
          <w:lang w:val="en-US"/>
        </w:rPr>
        <w:t>người tàn tật, khuyết tật)</w:t>
      </w:r>
      <w:r w:rsidR="004A2C9F">
        <w:rPr>
          <w:lang w:val="en-US"/>
        </w:rPr>
        <w:t>.</w:t>
      </w:r>
    </w:p>
    <w:p w:rsidR="007B4EF3" w:rsidRDefault="007B4EF3" w:rsidP="004F4E3A">
      <w:pPr>
        <w:pStyle w:val="Footer"/>
        <w:tabs>
          <w:tab w:val="clear" w:pos="4320"/>
          <w:tab w:val="clear" w:pos="8640"/>
        </w:tabs>
        <w:spacing w:line="380" w:lineRule="atLeast"/>
        <w:jc w:val="both"/>
        <w:rPr>
          <w:b/>
          <w:bCs/>
          <w:lang w:val="en-US"/>
        </w:rPr>
      </w:pPr>
      <w:r>
        <w:rPr>
          <w:lang w:val="en-US"/>
        </w:rPr>
        <w:t xml:space="preserve">         </w:t>
      </w:r>
      <w:r w:rsidR="007554D8">
        <w:rPr>
          <w:b/>
          <w:bCs/>
          <w:lang w:val="en-US"/>
        </w:rPr>
        <w:t xml:space="preserve"> 2. Thủ tục</w:t>
      </w:r>
      <w:r>
        <w:rPr>
          <w:b/>
          <w:bCs/>
          <w:lang w:val="en-US"/>
        </w:rPr>
        <w:t xml:space="preserve"> xét, cấp học bổng chính sách</w:t>
      </w:r>
    </w:p>
    <w:p w:rsidR="007B4EF3" w:rsidRDefault="007B4EF3" w:rsidP="004F4E3A">
      <w:pPr>
        <w:pStyle w:val="Footer"/>
        <w:tabs>
          <w:tab w:val="clear" w:pos="4320"/>
          <w:tab w:val="clear" w:pos="8640"/>
        </w:tabs>
        <w:spacing w:line="380" w:lineRule="atLeast"/>
        <w:ind w:firstLine="720"/>
        <w:jc w:val="both"/>
        <w:rPr>
          <w:lang w:val="en-US"/>
        </w:rPr>
      </w:pPr>
      <w:r>
        <w:rPr>
          <w:lang w:val="en-US"/>
        </w:rPr>
        <w:t xml:space="preserve"> a) Đối với đối tượng quy</w:t>
      </w:r>
      <w:r w:rsidR="007554D8">
        <w:rPr>
          <w:lang w:val="en-US"/>
        </w:rPr>
        <w:t xml:space="preserve"> định tại k</w:t>
      </w:r>
      <w:r>
        <w:rPr>
          <w:lang w:val="en-US"/>
        </w:rPr>
        <w:t>hoản 1 Mục I của Thông tư  này:</w:t>
      </w:r>
    </w:p>
    <w:p w:rsidR="007B4EF3" w:rsidRDefault="007B4EF3" w:rsidP="004F4E3A">
      <w:pPr>
        <w:pStyle w:val="Footer"/>
        <w:tabs>
          <w:tab w:val="clear" w:pos="4320"/>
          <w:tab w:val="clear" w:pos="8640"/>
        </w:tabs>
        <w:spacing w:line="380" w:lineRule="atLeast"/>
        <w:ind w:firstLine="720"/>
        <w:jc w:val="both"/>
        <w:rPr>
          <w:lang w:val="en-US"/>
        </w:rPr>
      </w:pPr>
      <w:r>
        <w:rPr>
          <w:lang w:val="en-US"/>
        </w:rPr>
        <w:t>Sau khi nhập trường, học sinh, sinh vi</w:t>
      </w:r>
      <w:r w:rsidR="00626497">
        <w:rPr>
          <w:lang w:val="en-US"/>
        </w:rPr>
        <w:t>ên nộp hồ sơ theo quy định tại k</w:t>
      </w:r>
      <w:r>
        <w:rPr>
          <w:lang w:val="en-US"/>
        </w:rPr>
        <w:t xml:space="preserve">hoản 1 Mục III của Thông tư này cho </w:t>
      </w:r>
      <w:r w:rsidR="00F02FC4">
        <w:rPr>
          <w:lang w:val="en-US"/>
        </w:rPr>
        <w:t>Sở Giáo dục và Đào tạo hoặc Sở Lao động - Thương binh và Xã hội</w:t>
      </w:r>
      <w:r w:rsidR="004A2C9F">
        <w:rPr>
          <w:lang w:val="en-US"/>
        </w:rPr>
        <w:t xml:space="preserve"> (nếu học ở cơ sở dạy nghề).</w:t>
      </w:r>
      <w:r>
        <w:rPr>
          <w:lang w:val="en-US"/>
        </w:rPr>
        <w:t xml:space="preserve"> </w:t>
      </w:r>
    </w:p>
    <w:p w:rsidR="007B4EF3" w:rsidRDefault="007B4EF3" w:rsidP="004F4E3A">
      <w:pPr>
        <w:pStyle w:val="Footer"/>
        <w:tabs>
          <w:tab w:val="clear" w:pos="4320"/>
          <w:tab w:val="clear" w:pos="8640"/>
        </w:tabs>
        <w:spacing w:line="380" w:lineRule="atLeast"/>
        <w:ind w:firstLine="720"/>
        <w:jc w:val="both"/>
        <w:rPr>
          <w:lang w:val="en-US"/>
        </w:rPr>
      </w:pPr>
      <w:r>
        <w:rPr>
          <w:lang w:val="en-US"/>
        </w:rPr>
        <w:t>Theo định kỳ xét, cấp học bổng c</w:t>
      </w:r>
      <w:r w:rsidR="00626497">
        <w:rPr>
          <w:lang w:val="en-US"/>
        </w:rPr>
        <w:t xml:space="preserve">hính sách quy định tại </w:t>
      </w:r>
      <w:r w:rsidR="00F02FC4">
        <w:rPr>
          <w:lang w:val="en-US"/>
        </w:rPr>
        <w:t>điểm b</w:t>
      </w:r>
      <w:r w:rsidR="00626497">
        <w:rPr>
          <w:lang w:val="en-US"/>
        </w:rPr>
        <w:t xml:space="preserve"> k</w:t>
      </w:r>
      <w:r>
        <w:rPr>
          <w:lang w:val="en-US"/>
        </w:rPr>
        <w:t>hoản 2 Mục V của Thông tư nà</w:t>
      </w:r>
      <w:r w:rsidR="00F02FC4">
        <w:rPr>
          <w:lang w:val="en-US"/>
        </w:rPr>
        <w:t>y, học sinh, sinh viên gửi tới S</w:t>
      </w:r>
      <w:r>
        <w:rPr>
          <w:lang w:val="en-US"/>
        </w:rPr>
        <w:t xml:space="preserve">ở </w:t>
      </w:r>
      <w:r w:rsidR="00F02FC4">
        <w:rPr>
          <w:lang w:val="en-US"/>
        </w:rPr>
        <w:t>G</w:t>
      </w:r>
      <w:r>
        <w:rPr>
          <w:lang w:val="en-US"/>
        </w:rPr>
        <w:t xml:space="preserve">iáo dục và </w:t>
      </w:r>
      <w:r w:rsidR="00F02FC4">
        <w:rPr>
          <w:lang w:val="en-US"/>
        </w:rPr>
        <w:t>Đ</w:t>
      </w:r>
      <w:r>
        <w:rPr>
          <w:lang w:val="en-US"/>
        </w:rPr>
        <w:t>ào tạo</w:t>
      </w:r>
      <w:r w:rsidR="004A2C9F">
        <w:rPr>
          <w:lang w:val="en-US"/>
        </w:rPr>
        <w:t xml:space="preserve"> hoặc </w:t>
      </w:r>
      <w:r w:rsidR="00F02FC4">
        <w:rPr>
          <w:lang w:val="en-US"/>
        </w:rPr>
        <w:t>S</w:t>
      </w:r>
      <w:r w:rsidR="004A2C9F">
        <w:rPr>
          <w:lang w:val="en-US"/>
        </w:rPr>
        <w:t xml:space="preserve">ở </w:t>
      </w:r>
      <w:r w:rsidR="00F02FC4">
        <w:rPr>
          <w:lang w:val="en-US"/>
        </w:rPr>
        <w:t>L</w:t>
      </w:r>
      <w:r w:rsidR="004A2C9F">
        <w:rPr>
          <w:lang w:val="en-US"/>
        </w:rPr>
        <w:t>ao động</w:t>
      </w:r>
      <w:r w:rsidR="008248DF">
        <w:rPr>
          <w:lang w:val="en-US"/>
        </w:rPr>
        <w:t xml:space="preserve"> </w:t>
      </w:r>
      <w:r w:rsidR="004A2C9F">
        <w:rPr>
          <w:lang w:val="en-US"/>
        </w:rPr>
        <w:t>-</w:t>
      </w:r>
      <w:r w:rsidR="008248DF">
        <w:rPr>
          <w:lang w:val="en-US"/>
        </w:rPr>
        <w:t xml:space="preserve"> </w:t>
      </w:r>
      <w:r w:rsidR="00F02FC4">
        <w:rPr>
          <w:lang w:val="en-US"/>
        </w:rPr>
        <w:t>T</w:t>
      </w:r>
      <w:r w:rsidR="004A2C9F">
        <w:rPr>
          <w:lang w:val="en-US"/>
        </w:rPr>
        <w:t xml:space="preserve">hương binh và </w:t>
      </w:r>
      <w:r w:rsidR="00F02FC4">
        <w:rPr>
          <w:lang w:val="en-US"/>
        </w:rPr>
        <w:t>X</w:t>
      </w:r>
      <w:r w:rsidR="004A2C9F">
        <w:rPr>
          <w:lang w:val="en-US"/>
        </w:rPr>
        <w:t>ã hội (nếu học ở cơ sở dạy nghề)</w:t>
      </w:r>
      <w:r>
        <w:rPr>
          <w:lang w:val="en-US"/>
        </w:rPr>
        <w:t xml:space="preserve"> giấy xác nhận của cơ sở giáo dục để thực hiện việc cấp học bổng chính sách theo quy định.</w:t>
      </w:r>
    </w:p>
    <w:p w:rsidR="007B4EF3" w:rsidRDefault="007B4EF3" w:rsidP="004F4E3A">
      <w:pPr>
        <w:pStyle w:val="Footer"/>
        <w:tabs>
          <w:tab w:val="clear" w:pos="4320"/>
          <w:tab w:val="clear" w:pos="8640"/>
        </w:tabs>
        <w:spacing w:line="380" w:lineRule="atLeast"/>
        <w:ind w:firstLine="720"/>
        <w:jc w:val="both"/>
        <w:rPr>
          <w:lang w:val="en-US"/>
        </w:rPr>
      </w:pPr>
      <w:r>
        <w:rPr>
          <w:lang w:val="en-US"/>
        </w:rPr>
        <w:t xml:space="preserve">b) </w:t>
      </w:r>
      <w:r w:rsidR="00F36290">
        <w:rPr>
          <w:lang w:val="en-US"/>
        </w:rPr>
        <w:t>Đối với đối tượng quy định tại khoản 2 và khoản 3</w:t>
      </w:r>
      <w:r>
        <w:rPr>
          <w:lang w:val="en-US"/>
        </w:rPr>
        <w:t xml:space="preserve"> Mục I của Thông tư này:</w:t>
      </w:r>
    </w:p>
    <w:p w:rsidR="007B4EF3" w:rsidRDefault="007B4EF3" w:rsidP="004F4E3A">
      <w:pPr>
        <w:pStyle w:val="Footer"/>
        <w:tabs>
          <w:tab w:val="clear" w:pos="4320"/>
          <w:tab w:val="clear" w:pos="8640"/>
        </w:tabs>
        <w:spacing w:line="380" w:lineRule="atLeast"/>
        <w:ind w:firstLine="720"/>
        <w:jc w:val="both"/>
        <w:rPr>
          <w:lang w:val="en-US"/>
        </w:rPr>
      </w:pPr>
      <w:r>
        <w:rPr>
          <w:lang w:val="en-US"/>
        </w:rPr>
        <w:t xml:space="preserve">Khi nhập trường, học sinh, sinh viên, học viên nộp hồ sơ theo quy định tại </w:t>
      </w:r>
      <w:r w:rsidR="00F36290">
        <w:rPr>
          <w:lang w:val="en-US"/>
        </w:rPr>
        <w:t>khoản 1 Mục III (trừ  điểm c k</w:t>
      </w:r>
      <w:r>
        <w:rPr>
          <w:lang w:val="en-US"/>
        </w:rPr>
        <w:t xml:space="preserve">hoản 1 Mục III) cho cơ sở giáo dục nơi xét, cấp học bổng chính sách. </w:t>
      </w:r>
    </w:p>
    <w:p w:rsidR="00782685" w:rsidRDefault="00691E39" w:rsidP="004F4E3A">
      <w:pPr>
        <w:pStyle w:val="Footer"/>
        <w:tabs>
          <w:tab w:val="clear" w:pos="4320"/>
          <w:tab w:val="clear" w:pos="8640"/>
        </w:tabs>
        <w:spacing w:line="380" w:lineRule="atLeast"/>
        <w:ind w:firstLine="720"/>
        <w:jc w:val="both"/>
        <w:rPr>
          <w:lang w:val="en-US"/>
        </w:rPr>
      </w:pPr>
      <w:r>
        <w:rPr>
          <w:lang w:val="en-US"/>
        </w:rPr>
        <w:lastRenderedPageBreak/>
        <w:t>c)</w:t>
      </w:r>
      <w:r w:rsidR="007B4EF3">
        <w:rPr>
          <w:lang w:val="en-US"/>
        </w:rPr>
        <w:t xml:space="preserve"> </w:t>
      </w:r>
      <w:r w:rsidR="00F02FC4">
        <w:rPr>
          <w:lang w:val="en-US"/>
        </w:rPr>
        <w:t>Sở Giáo dục và Đào tạo, Sở Lao động - Thương binh và Xã hội</w:t>
      </w:r>
      <w:r w:rsidR="007B4EF3">
        <w:rPr>
          <w:lang w:val="en-US"/>
        </w:rPr>
        <w:t xml:space="preserve"> </w:t>
      </w:r>
      <w:r w:rsidR="00782685">
        <w:rPr>
          <w:lang w:val="en-US"/>
        </w:rPr>
        <w:t>tiếp nhận hồ sơ; lập danh sách, dự toán nhu cầu kinh phí học bổng chính sách theo quy định tại điểm a khoản 1 Mục VI của Thông tư này.</w:t>
      </w:r>
    </w:p>
    <w:p w:rsidR="007B4EF3" w:rsidRDefault="00782685" w:rsidP="004F4E3A">
      <w:pPr>
        <w:pStyle w:val="Footer"/>
        <w:tabs>
          <w:tab w:val="clear" w:pos="4320"/>
          <w:tab w:val="clear" w:pos="8640"/>
        </w:tabs>
        <w:spacing w:line="380" w:lineRule="atLeast"/>
        <w:ind w:firstLine="720"/>
        <w:jc w:val="both"/>
        <w:rPr>
          <w:lang w:val="en-US"/>
        </w:rPr>
      </w:pPr>
      <w:r>
        <w:rPr>
          <w:lang w:val="en-US"/>
        </w:rPr>
        <w:t>Các cơ sở giáo dục tiếp nhận hồ sơ; lập danh sách, dự toán nhu cầu kinh phí học bổng chính sách gửi về các cơ quan chủ quản của các đơn vị trực thuộc các Bộ, các cơ quan Trung ương theo quy định tại điểm b khoản 1 Mục VI của Thông tư này.</w:t>
      </w:r>
      <w:r w:rsidR="007B4EF3">
        <w:rPr>
          <w:lang w:val="en-US"/>
        </w:rPr>
        <w:t xml:space="preserve"> </w:t>
      </w:r>
    </w:p>
    <w:p w:rsidR="007B4EF3" w:rsidRDefault="007B4EF3" w:rsidP="004F4E3A">
      <w:pPr>
        <w:pStyle w:val="Footer"/>
        <w:tabs>
          <w:tab w:val="clear" w:pos="4320"/>
          <w:tab w:val="clear" w:pos="8640"/>
        </w:tabs>
        <w:spacing w:line="380" w:lineRule="atLeast"/>
        <w:rPr>
          <w:b/>
          <w:bCs/>
          <w:lang w:val="en-US"/>
        </w:rPr>
      </w:pPr>
      <w:r>
        <w:rPr>
          <w:b/>
          <w:bCs/>
          <w:lang w:val="en-US"/>
        </w:rPr>
        <w:t xml:space="preserve">IV. TRƯỜNG HỢP DỪNG CẤP HỌC BỔNG CHÍNH SÁCH </w:t>
      </w:r>
    </w:p>
    <w:p w:rsidR="007B4EF3" w:rsidRDefault="007B4EF3" w:rsidP="004F4E3A">
      <w:pPr>
        <w:pStyle w:val="Footer"/>
        <w:tabs>
          <w:tab w:val="clear" w:pos="4320"/>
          <w:tab w:val="clear" w:pos="8640"/>
        </w:tabs>
        <w:spacing w:line="380" w:lineRule="atLeast"/>
        <w:ind w:firstLine="720"/>
        <w:jc w:val="both"/>
        <w:rPr>
          <w:lang w:val="en-US"/>
        </w:rPr>
      </w:pPr>
      <w:r>
        <w:rPr>
          <w:lang w:val="en-US"/>
        </w:rPr>
        <w:t>1. Học sinh, sinh viên bị kỷ luật</w:t>
      </w:r>
      <w:r w:rsidR="00FC4A2E">
        <w:rPr>
          <w:lang w:val="en-US"/>
        </w:rPr>
        <w:t xml:space="preserve"> buộc thôi học thì không được nhận học bổn</w:t>
      </w:r>
      <w:r w:rsidR="00691E39">
        <w:rPr>
          <w:lang w:val="en-US"/>
        </w:rPr>
        <w:t xml:space="preserve">g chính sách, kể từ thời điểm </w:t>
      </w:r>
      <w:r w:rsidR="004B4931">
        <w:rPr>
          <w:lang w:val="en-US"/>
        </w:rPr>
        <w:t>Quyết định kỷ luật có hiệu lực.</w:t>
      </w:r>
    </w:p>
    <w:p w:rsidR="007B4EF3" w:rsidRPr="008A2C18" w:rsidRDefault="007B4EF3" w:rsidP="008A2C18">
      <w:pPr>
        <w:pStyle w:val="Footer"/>
        <w:tabs>
          <w:tab w:val="clear" w:pos="4320"/>
          <w:tab w:val="clear" w:pos="8640"/>
        </w:tabs>
        <w:spacing w:line="380" w:lineRule="atLeast"/>
        <w:ind w:firstLine="720"/>
        <w:jc w:val="both"/>
        <w:rPr>
          <w:lang w:val="en-US"/>
        </w:rPr>
      </w:pPr>
      <w:r>
        <w:rPr>
          <w:lang w:val="en-US"/>
        </w:rPr>
        <w:t>2. Học sinh, sinh viên bị đình chỉ học tập thì không được nhận học bổng chính sách tron</w:t>
      </w:r>
      <w:r w:rsidR="004B4931">
        <w:rPr>
          <w:lang w:val="en-US"/>
        </w:rPr>
        <w:t>g thời gian bị đình chỉ</w:t>
      </w:r>
      <w:r w:rsidR="008A2C18">
        <w:rPr>
          <w:lang w:val="en-US"/>
        </w:rPr>
        <w:t xml:space="preserve">, trừ trường hợp </w:t>
      </w:r>
      <w:r>
        <w:t xml:space="preserve">dừng học do ốm đau, tai nạn, học lại, lưu </w:t>
      </w:r>
      <w:r w:rsidR="00FC4A2E">
        <w:t>ban hoặc dừng học vì lý do khác</w:t>
      </w:r>
      <w:r>
        <w:t xml:space="preserve"> </w:t>
      </w:r>
      <w:r w:rsidR="00FC4A2E">
        <w:t>(</w:t>
      </w:r>
      <w:r>
        <w:t>không do kỷ luật</w:t>
      </w:r>
      <w:r w:rsidR="00B43E25">
        <w:t xml:space="preserve"> hoặc tự</w:t>
      </w:r>
      <w:r w:rsidR="00FB55A7">
        <w:t xml:space="preserve"> thôi học</w:t>
      </w:r>
      <w:r w:rsidR="00FC4A2E">
        <w:t>)</w:t>
      </w:r>
      <w:r w:rsidR="008A2C18">
        <w:t>.</w:t>
      </w:r>
    </w:p>
    <w:p w:rsidR="007B4EF3" w:rsidRDefault="007B4EF3" w:rsidP="004F4E3A">
      <w:pPr>
        <w:pStyle w:val="Footer"/>
        <w:tabs>
          <w:tab w:val="clear" w:pos="4320"/>
          <w:tab w:val="clear" w:pos="8640"/>
        </w:tabs>
        <w:spacing w:line="380" w:lineRule="atLeast"/>
        <w:ind w:firstLine="720"/>
        <w:jc w:val="both"/>
      </w:pPr>
      <w:r>
        <w:t xml:space="preserve">3. Đối </w:t>
      </w:r>
      <w:r w:rsidR="00F36290">
        <w:t>với các đối tượng quy định tại khoản 1</w:t>
      </w:r>
      <w:r>
        <w:t xml:space="preserve"> Mục I của Thông tư này, cơ sở giáo dục nơi học sinh, sinh viên bị kỷ luật có trách nhiệm gửi thông báo kỷ luật về </w:t>
      </w:r>
      <w:r w:rsidR="00F02FC4">
        <w:rPr>
          <w:lang w:val="en-US"/>
        </w:rPr>
        <w:t>Sở Giáo dục và Đào tạo hoặc Sở Lao động - Thương binh và Xã hội</w:t>
      </w:r>
      <w:r w:rsidR="00F02FC4">
        <w:t xml:space="preserve"> </w:t>
      </w:r>
      <w:r w:rsidR="004A2C9F">
        <w:t xml:space="preserve">(nếu học ở các cơ sở dạy nghề) </w:t>
      </w:r>
      <w:r>
        <w:t>chậm nhất 15 ngày, kể t</w:t>
      </w:r>
      <w:r w:rsidR="004B4931">
        <w:t>ừ ngày</w:t>
      </w:r>
      <w:r>
        <w:t xml:space="preserve"> quyết định kỷ l</w:t>
      </w:r>
      <w:r w:rsidR="004B4931">
        <w:t>uật hoặc quyết định xoá kỷ luật có hiệu lực.</w:t>
      </w:r>
    </w:p>
    <w:p w:rsidR="007B4EF3" w:rsidRPr="00F36290" w:rsidRDefault="00F36290" w:rsidP="004F4E3A">
      <w:pPr>
        <w:pStyle w:val="Footer"/>
        <w:tabs>
          <w:tab w:val="clear" w:pos="4320"/>
          <w:tab w:val="clear" w:pos="8640"/>
        </w:tabs>
        <w:spacing w:line="380" w:lineRule="atLeast"/>
        <w:jc w:val="both"/>
        <w:rPr>
          <w:b/>
          <w:bCs/>
          <w:sz w:val="26"/>
          <w:szCs w:val="26"/>
        </w:rPr>
      </w:pPr>
      <w:r w:rsidRPr="00F36290">
        <w:rPr>
          <w:b/>
          <w:bCs/>
          <w:sz w:val="26"/>
          <w:szCs w:val="26"/>
        </w:rPr>
        <w:t xml:space="preserve">V. </w:t>
      </w:r>
      <w:r w:rsidR="009907D5">
        <w:rPr>
          <w:b/>
          <w:bCs/>
          <w:sz w:val="26"/>
          <w:szCs w:val="26"/>
        </w:rPr>
        <w:t xml:space="preserve">NGUỒN </w:t>
      </w:r>
      <w:r w:rsidRPr="00F36290">
        <w:rPr>
          <w:b/>
          <w:bCs/>
          <w:sz w:val="26"/>
          <w:szCs w:val="26"/>
        </w:rPr>
        <w:t xml:space="preserve">KINH PHÍ, </w:t>
      </w:r>
      <w:r w:rsidR="007B4EF3" w:rsidRPr="00F36290">
        <w:rPr>
          <w:b/>
          <w:bCs/>
          <w:sz w:val="26"/>
          <w:szCs w:val="26"/>
        </w:rPr>
        <w:t xml:space="preserve">PHƯƠNG THỨC CẤP </w:t>
      </w:r>
      <w:r w:rsidRPr="00F36290">
        <w:rPr>
          <w:b/>
          <w:bCs/>
          <w:sz w:val="26"/>
          <w:szCs w:val="26"/>
        </w:rPr>
        <w:t xml:space="preserve">VÀ BỒI HOÀN </w:t>
      </w:r>
      <w:r w:rsidR="007B4EF3" w:rsidRPr="00F36290">
        <w:rPr>
          <w:b/>
          <w:bCs/>
          <w:sz w:val="26"/>
          <w:szCs w:val="26"/>
        </w:rPr>
        <w:t>HỌC BỔNG CHÍNH SÁCH</w:t>
      </w:r>
    </w:p>
    <w:p w:rsidR="007B4EF3" w:rsidRDefault="007B4EF3" w:rsidP="004F4E3A">
      <w:pPr>
        <w:spacing w:line="380" w:lineRule="atLeast"/>
        <w:ind w:firstLine="720"/>
        <w:jc w:val="both"/>
        <w:rPr>
          <w:b/>
          <w:bCs/>
        </w:rPr>
      </w:pPr>
      <w:r>
        <w:rPr>
          <w:b/>
          <w:bCs/>
        </w:rPr>
        <w:t>1. Nguồn kinh phí</w:t>
      </w:r>
      <w:r w:rsidR="009907D5">
        <w:rPr>
          <w:b/>
          <w:bCs/>
        </w:rPr>
        <w:t xml:space="preserve"> học bổng chính sách</w:t>
      </w:r>
    </w:p>
    <w:p w:rsidR="007B4EF3" w:rsidRDefault="007B4EF3" w:rsidP="004F4E3A">
      <w:pPr>
        <w:spacing w:line="380" w:lineRule="atLeast"/>
        <w:ind w:firstLine="720"/>
        <w:jc w:val="both"/>
      </w:pPr>
      <w:r>
        <w:t>Nguồn kinh phí thực hiện cấp học bổng chính sách theo hướng dẫn tại Thông tư này được cân đối trong dự toán chi Ngân sách nhà nước sự nghiệp giáo dục đào tạo</w:t>
      </w:r>
      <w:r w:rsidR="004A2C9F">
        <w:t>, dạy nghề</w:t>
      </w:r>
      <w:r>
        <w:t xml:space="preserve"> hàng năm theo </w:t>
      </w:r>
      <w:r w:rsidRPr="00FB55A7">
        <w:t>phân cấp</w:t>
      </w:r>
      <w:r w:rsidR="00FB55A7">
        <w:t xml:space="preserve"> hiện hành của Luật Ngân sách.</w:t>
      </w:r>
      <w:r w:rsidR="00FB55A7" w:rsidRPr="00FB55A7">
        <w:t xml:space="preserve"> </w:t>
      </w:r>
      <w:r>
        <w:t xml:space="preserve"> Cụ thể:</w:t>
      </w:r>
    </w:p>
    <w:p w:rsidR="007B4EF3" w:rsidRDefault="007B4EF3" w:rsidP="004F4E3A">
      <w:pPr>
        <w:pStyle w:val="BodyTextIndent"/>
        <w:spacing w:before="0" w:line="380" w:lineRule="atLeast"/>
      </w:pPr>
      <w:r>
        <w:t xml:space="preserve">a) Ngân sách </w:t>
      </w:r>
      <w:r w:rsidR="0044192D">
        <w:t>T</w:t>
      </w:r>
      <w:r>
        <w:t xml:space="preserve">rung ương đảm bảo kinh phí thực hiện chế độ học bổng chính sách đối với học sinh, sinh viên thuộc đối tượng </w:t>
      </w:r>
      <w:r w:rsidR="00F36290">
        <w:t>quy định tại khoản 2 và k</w:t>
      </w:r>
      <w:r>
        <w:t>hoản 3 Mục I của Thông tư này đang theo học tại các cơ sở giáo dục</w:t>
      </w:r>
      <w:r w:rsidR="00F36290">
        <w:t xml:space="preserve"> thuộc các Bộ, ngành Trung ương</w:t>
      </w:r>
      <w:r w:rsidR="00FB55A7">
        <w:t xml:space="preserve"> quản lý</w:t>
      </w:r>
      <w:r w:rsidR="00F36290">
        <w:t>;</w:t>
      </w:r>
    </w:p>
    <w:p w:rsidR="007B4EF3" w:rsidRPr="00FB55A7" w:rsidRDefault="007B4EF3" w:rsidP="004F4E3A">
      <w:pPr>
        <w:spacing w:line="380" w:lineRule="atLeast"/>
        <w:ind w:firstLine="720"/>
        <w:jc w:val="both"/>
      </w:pPr>
      <w:r>
        <w:t>b) Ngân sách địa phương đảm bảo kinh phí thực hiện chế độ học bổng chính sách đối với học sinh, sinh viên thuộc đối tượng quy định t</w:t>
      </w:r>
      <w:r w:rsidR="00F36290">
        <w:t>ại khoản 2 và k</w:t>
      </w:r>
      <w:r>
        <w:t>hoản 3 Mục I của Thông tư này đang theo học tại các cơ sở</w:t>
      </w:r>
      <w:r w:rsidR="00F36290">
        <w:t xml:space="preserve"> giáo dục do địa phương </w:t>
      </w:r>
      <w:r w:rsidR="00F36290" w:rsidRPr="00FB55A7">
        <w:t>quản lý;</w:t>
      </w:r>
    </w:p>
    <w:p w:rsidR="007B4EF3" w:rsidRDefault="009907D5" w:rsidP="004F4E3A">
      <w:pPr>
        <w:spacing w:line="380" w:lineRule="atLeast"/>
        <w:ind w:firstLine="720"/>
        <w:jc w:val="both"/>
      </w:pPr>
      <w:r>
        <w:t>c)</w:t>
      </w:r>
      <w:r w:rsidR="007B4EF3">
        <w:t xml:space="preserve"> </w:t>
      </w:r>
      <w:r>
        <w:t>H</w:t>
      </w:r>
      <w:r w:rsidR="007B4EF3">
        <w:t>ọc sinh, sinh viên thuộc đối tượng quy định tại</w:t>
      </w:r>
      <w:r w:rsidR="00F36290">
        <w:t xml:space="preserve"> khoản 1 Mục I của Thông tư này</w:t>
      </w:r>
      <w:r w:rsidR="007B4EF3" w:rsidRPr="0036181B">
        <w:t>,</w:t>
      </w:r>
      <w:r w:rsidR="00F36290">
        <w:t xml:space="preserve"> n</w:t>
      </w:r>
      <w:r w:rsidR="007B4EF3">
        <w:t xml:space="preserve">gân sách địa phương đảm bảo kinh phí thực hiện chế độ học bổng chính sách đối với người học không phân biệt cơ sở giáo dục nơi học sinh, </w:t>
      </w:r>
      <w:r w:rsidR="007B4EF3">
        <w:lastRenderedPageBreak/>
        <w:t>sin</w:t>
      </w:r>
      <w:r w:rsidR="00F36290">
        <w:t>h viên đang theo học thuộc các B</w:t>
      </w:r>
      <w:r w:rsidR="007B4EF3">
        <w:t xml:space="preserve">ộ, ngành </w:t>
      </w:r>
      <w:r w:rsidR="0044192D">
        <w:t>T</w:t>
      </w:r>
      <w:r w:rsidR="007B4EF3">
        <w:t>rung ương hay do địa phương quản lý.</w:t>
      </w:r>
    </w:p>
    <w:p w:rsidR="007B4EF3" w:rsidRDefault="007B4EF3" w:rsidP="004F4E3A">
      <w:pPr>
        <w:spacing w:line="380" w:lineRule="atLeast"/>
        <w:ind w:firstLine="720"/>
        <w:jc w:val="both"/>
        <w:rPr>
          <w:b/>
          <w:bCs/>
        </w:rPr>
      </w:pPr>
      <w:r>
        <w:rPr>
          <w:b/>
          <w:bCs/>
        </w:rPr>
        <w:t>2. Phương thức cấp và bồi hoàn</w:t>
      </w:r>
      <w:r w:rsidR="009907D5">
        <w:rPr>
          <w:b/>
          <w:bCs/>
        </w:rPr>
        <w:t xml:space="preserve"> học bổng chính sách</w:t>
      </w:r>
    </w:p>
    <w:p w:rsidR="007B4EF3" w:rsidRDefault="007B4EF3" w:rsidP="004F4E3A">
      <w:pPr>
        <w:pStyle w:val="BodyTextIndent"/>
        <w:spacing w:before="0" w:line="380" w:lineRule="atLeast"/>
      </w:pPr>
      <w:r>
        <w:t>a) Cơ quan thực hiện cấp học bổng chính sách:</w:t>
      </w:r>
    </w:p>
    <w:p w:rsidR="007B4EF3" w:rsidRDefault="0044192D" w:rsidP="004F4E3A">
      <w:pPr>
        <w:pStyle w:val="BodyTextIndent"/>
        <w:spacing w:before="0" w:line="380" w:lineRule="atLeast"/>
      </w:pPr>
      <w:r>
        <w:t xml:space="preserve">- </w:t>
      </w:r>
      <w:r w:rsidR="00F36290">
        <w:t>Đối với đối tượng quy định tại k</w:t>
      </w:r>
      <w:r w:rsidR="007B4EF3">
        <w:t>hoản 1 Mục I của Thông tư này:</w:t>
      </w:r>
    </w:p>
    <w:p w:rsidR="007B4EF3" w:rsidRDefault="0044192D" w:rsidP="004F4E3A">
      <w:pPr>
        <w:spacing w:line="380" w:lineRule="atLeast"/>
        <w:ind w:firstLine="720"/>
        <w:jc w:val="both"/>
      </w:pPr>
      <w:r>
        <w:t xml:space="preserve">+ </w:t>
      </w:r>
      <w:r w:rsidR="007B4EF3">
        <w:t xml:space="preserve">Căn cứ vào dự toán kinh phí sự nghiệp </w:t>
      </w:r>
      <w:r w:rsidR="00FB55A7">
        <w:t xml:space="preserve">giáo dục </w:t>
      </w:r>
      <w:r w:rsidR="007B4EF3">
        <w:t>đã được th</w:t>
      </w:r>
      <w:r w:rsidR="004A2C9F">
        <w:t xml:space="preserve">ông báo, </w:t>
      </w:r>
      <w:r w:rsidR="00F02FC4">
        <w:t>Sở Giáo dục và Đào tạo, Sở Lao động - Thương binh và Xã hội</w:t>
      </w:r>
      <w:r w:rsidR="007B4EF3">
        <w:t xml:space="preserve"> theo thẩm quyền thực hiện việc quản lý kinh phí, tổ chức cấp học bổng chính sách đối với học sinh, sinh viên thuộc diện được hưở</w:t>
      </w:r>
      <w:r w:rsidR="00F36290">
        <w:t>ng học bổng chính sách theo</w:t>
      </w:r>
      <w:r w:rsidR="007B4EF3">
        <w:t xml:space="preserve"> quy định.</w:t>
      </w:r>
    </w:p>
    <w:p w:rsidR="007B4EF3" w:rsidRDefault="0044192D" w:rsidP="00F12503">
      <w:pPr>
        <w:spacing w:line="400" w:lineRule="atLeast"/>
        <w:ind w:firstLine="720"/>
        <w:jc w:val="both"/>
      </w:pPr>
      <w:r>
        <w:t xml:space="preserve">+ </w:t>
      </w:r>
      <w:r w:rsidR="007B4EF3">
        <w:t>Căn cứ điều kiện cụ thể của từng địa phương và điều kiện của cơ sở giáo dục có học sinh, sinh viên thuộc diện được hưởng học bổng chính sách, Uỷ ban nhân dân tỉnh, thành phố trực thuộc Trung ương (sau đây gọi chung là Uỷ ban nhân dân cấp tỉnh) hoặc cơ quan được Uỷ ban nhân dân cấp tỉnh uỷ quyền chủ động lựa chọn hình thức chuyển tiền thích hợp, đảm bảo tạo thuận lợi tối đa cho người học theo một</w:t>
      </w:r>
      <w:r w:rsidR="00F36290">
        <w:t xml:space="preserve"> trong các phương thức như sau: t</w:t>
      </w:r>
      <w:r w:rsidR="007B4EF3">
        <w:t>rực tiếp chuyển kinh phí cho các</w:t>
      </w:r>
      <w:r w:rsidR="00DB61DA">
        <w:t xml:space="preserve"> cơ sở giáo dục theo hợp đồng; c</w:t>
      </w:r>
      <w:r w:rsidR="007B4EF3">
        <w:t xml:space="preserve">ấp tiền mặt trực tiếp cho gia đình người học hoặc chuyển qua thẻ ATM hoặc các hình thức chuyển tiền </w:t>
      </w:r>
      <w:r w:rsidR="00FC6603">
        <w:t xml:space="preserve">hợp pháp </w:t>
      </w:r>
      <w:r w:rsidR="007B4EF3">
        <w:t>khác (nếu có) cho người học.</w:t>
      </w:r>
    </w:p>
    <w:p w:rsidR="007B4EF3" w:rsidRDefault="0044192D" w:rsidP="00F12503">
      <w:pPr>
        <w:spacing w:line="400" w:lineRule="atLeast"/>
        <w:ind w:firstLine="720"/>
        <w:jc w:val="both"/>
      </w:pPr>
      <w:r>
        <w:t xml:space="preserve">- </w:t>
      </w:r>
      <w:r w:rsidR="00F36290">
        <w:t>Đối với đối tượng quy định tại k</w:t>
      </w:r>
      <w:r w:rsidR="007B4EF3">
        <w:t>hoả</w:t>
      </w:r>
      <w:r w:rsidR="00F36290">
        <w:t>n 2 và k</w:t>
      </w:r>
      <w:r>
        <w:t xml:space="preserve">hoản 3 </w:t>
      </w:r>
      <w:r w:rsidR="007B4EF3">
        <w:t xml:space="preserve">Mục I của Thông tư này: </w:t>
      </w:r>
    </w:p>
    <w:p w:rsidR="007B4EF3" w:rsidRPr="00FB55A7" w:rsidRDefault="0044192D" w:rsidP="00F12503">
      <w:pPr>
        <w:spacing w:line="400" w:lineRule="atLeast"/>
        <w:jc w:val="both"/>
      </w:pPr>
      <w:r>
        <w:t xml:space="preserve">      </w:t>
      </w:r>
      <w:r w:rsidR="00C33A8D">
        <w:t xml:space="preserve"> </w:t>
      </w:r>
      <w:r>
        <w:t xml:space="preserve"> </w:t>
      </w:r>
      <w:r w:rsidR="007B4EF3">
        <w:t xml:space="preserve">Căn cứ vào dự toán kinh phí sự nghiệp </w:t>
      </w:r>
      <w:r w:rsidR="007B4EF3" w:rsidRPr="00FB55A7">
        <w:t xml:space="preserve">giáo dục </w:t>
      </w:r>
      <w:r w:rsidR="007B4EF3">
        <w:t xml:space="preserve"> đã được thông báo; các cơ sở giáo dục thực hiện việc quản lý kinh phí, tổ chức cấp học bổng đ</w:t>
      </w:r>
      <w:r w:rsidR="007B4EF3" w:rsidRPr="00FB55A7">
        <w:t>ối với học sinh, sinh viên</w:t>
      </w:r>
      <w:r w:rsidR="00CA5E71" w:rsidRPr="00FB55A7">
        <w:t>; học viên</w:t>
      </w:r>
      <w:r w:rsidR="007B4EF3" w:rsidRPr="00FB55A7">
        <w:t xml:space="preserve"> thuộc diện được hưở</w:t>
      </w:r>
      <w:r w:rsidR="00F36290" w:rsidRPr="00FB55A7">
        <w:t>ng học bổng chính sách theo</w:t>
      </w:r>
      <w:r w:rsidR="007B4EF3" w:rsidRPr="00FB55A7">
        <w:t xml:space="preserve"> quy định.</w:t>
      </w:r>
    </w:p>
    <w:p w:rsidR="007B4EF3" w:rsidRDefault="007B4EF3" w:rsidP="00F12503">
      <w:pPr>
        <w:spacing w:line="400" w:lineRule="atLeast"/>
        <w:ind w:firstLine="720"/>
        <w:jc w:val="both"/>
      </w:pPr>
      <w:r>
        <w:t xml:space="preserve">b) Thời gian cấp học bổng chính sách </w:t>
      </w:r>
    </w:p>
    <w:p w:rsidR="007B4EF3" w:rsidRDefault="007B4EF3" w:rsidP="00F12503">
      <w:pPr>
        <w:pStyle w:val="BodyTextIndent"/>
        <w:spacing w:before="0" w:line="400" w:lineRule="atLeast"/>
      </w:pPr>
      <w:r>
        <w:t xml:space="preserve">Học bổng chính sách được cấp hàng tháng </w:t>
      </w:r>
      <w:r w:rsidR="008A2C18">
        <w:t xml:space="preserve">đối với người học nhận học bổng </w:t>
      </w:r>
      <w:r>
        <w:t>thông qua thẻ ATM</w:t>
      </w:r>
      <w:r w:rsidR="008A2C18">
        <w:t>,</w:t>
      </w:r>
      <w:r>
        <w:t xml:space="preserve"> người học nhận họ</w:t>
      </w:r>
      <w:r w:rsidR="008A2C18">
        <w:t>c bổng thông qua cơ sở giáo dục</w:t>
      </w:r>
      <w:r>
        <w:t xml:space="preserve"> hoặc được cấp hai lần trong năm, mỗi lần cấp 6 tháng, lần thứ nhất cấp vào tháng 10, lần thứ hai cấp vào tháng 3 </w:t>
      </w:r>
      <w:r w:rsidR="008A2C18">
        <w:t>đối với người học nhận</w:t>
      </w:r>
      <w:r>
        <w:t xml:space="preserve"> học bổng được trả bằng tiền mặt</w:t>
      </w:r>
      <w:r w:rsidR="008A2C18">
        <w:t>, học bổng được chi trả thông qua gia đình người học</w:t>
      </w:r>
      <w:r>
        <w:t>.</w:t>
      </w:r>
    </w:p>
    <w:p w:rsidR="007B4EF3" w:rsidRDefault="007B4EF3" w:rsidP="00F12503">
      <w:pPr>
        <w:spacing w:line="400" w:lineRule="atLeast"/>
        <w:ind w:firstLine="720"/>
        <w:jc w:val="both"/>
      </w:pPr>
      <w:r>
        <w:t xml:space="preserve">Trường hợp học sinh, sinh viên chưa nhận được học bổng chính sách theo thời hạn quy định thì được truy lĩnh trong kỳ cấp học bổng tiếp theo. </w:t>
      </w:r>
    </w:p>
    <w:p w:rsidR="007B4EF3" w:rsidRPr="0036181B" w:rsidRDefault="007B4EF3" w:rsidP="00F12503">
      <w:pPr>
        <w:spacing w:line="400" w:lineRule="atLeast"/>
        <w:ind w:firstLine="720"/>
        <w:jc w:val="both"/>
      </w:pPr>
      <w:r w:rsidRPr="0036181B">
        <w:t>c) Phương thức bồi hoàn</w:t>
      </w:r>
      <w:r w:rsidR="00F36290">
        <w:t>:</w:t>
      </w:r>
    </w:p>
    <w:p w:rsidR="007B4EF3" w:rsidRDefault="007B4EF3" w:rsidP="0087077B">
      <w:pPr>
        <w:pStyle w:val="BodyTextIndent"/>
        <w:spacing w:before="0"/>
      </w:pPr>
      <w:r>
        <w:t xml:space="preserve">Học sinh, sinh viên đã nhận học bổng chính sách mà </w:t>
      </w:r>
      <w:r w:rsidR="00025037">
        <w:t>tự</w:t>
      </w:r>
      <w:r w:rsidRPr="00FB55A7">
        <w:t xml:space="preserve"> thôi học</w:t>
      </w:r>
      <w:r>
        <w:t xml:space="preserve"> hoặc bị kỷ luật buộc thôi học thì phải bồi hoàn toàn bộ số tiền học bổng đã nhận từ đầu khoá học đến thời điểm thôi học cho cơ quan cấp học bổng theo phân cấp quản lý.</w:t>
      </w:r>
    </w:p>
    <w:p w:rsidR="007B4EF3" w:rsidRDefault="00F36290" w:rsidP="0087077B">
      <w:pPr>
        <w:spacing w:line="360" w:lineRule="atLeast"/>
        <w:jc w:val="both"/>
        <w:rPr>
          <w:b/>
          <w:bCs/>
          <w:lang w:val="en-GB"/>
        </w:rPr>
      </w:pPr>
      <w:r>
        <w:rPr>
          <w:b/>
          <w:bCs/>
          <w:lang w:val="en-GB"/>
        </w:rPr>
        <w:lastRenderedPageBreak/>
        <w:t xml:space="preserve">VI. </w:t>
      </w:r>
      <w:r w:rsidR="007B4EF3">
        <w:rPr>
          <w:b/>
          <w:bCs/>
          <w:lang w:val="en-GB"/>
        </w:rPr>
        <w:t>CHẾ ĐỘ BÁO CÁO NHU CẦU KINH PHÍ THỰC HIỆN ĐIỀU CHỈNH MỨC HỌC BỔNG CHÍNH SÁCH</w:t>
      </w:r>
    </w:p>
    <w:p w:rsidR="007B4EF3" w:rsidRDefault="007B4EF3" w:rsidP="0087077B">
      <w:pPr>
        <w:spacing w:line="360" w:lineRule="atLeast"/>
        <w:jc w:val="both"/>
        <w:rPr>
          <w:lang w:val="en-GB"/>
        </w:rPr>
      </w:pPr>
      <w:r>
        <w:rPr>
          <w:b/>
          <w:bCs/>
          <w:lang w:val="en-GB"/>
        </w:rPr>
        <w:tab/>
      </w:r>
      <w:r>
        <w:rPr>
          <w:lang w:val="en-GB"/>
        </w:rPr>
        <w:t xml:space="preserve">1. Khi có </w:t>
      </w:r>
      <w:r w:rsidR="00F36290">
        <w:rPr>
          <w:lang w:val="en-GB"/>
        </w:rPr>
        <w:t>Q</w:t>
      </w:r>
      <w:r>
        <w:rPr>
          <w:lang w:val="en-GB"/>
        </w:rPr>
        <w:t>uyết định của Chính phủ về việc điều chỉnh mức lương tối thiểu chung của Nhà nước:</w:t>
      </w:r>
    </w:p>
    <w:p w:rsidR="007B4EF3" w:rsidRDefault="007B4EF3" w:rsidP="0087077B">
      <w:pPr>
        <w:spacing w:line="360" w:lineRule="atLeast"/>
        <w:jc w:val="both"/>
        <w:rPr>
          <w:lang w:val="en-GB"/>
        </w:rPr>
      </w:pPr>
      <w:r>
        <w:rPr>
          <w:lang w:val="en-GB"/>
        </w:rPr>
        <w:tab/>
        <w:t xml:space="preserve">a) Đối với trường hợp học sinh, sinh viên thuộc đối tượng quy định tại </w:t>
      </w:r>
      <w:r w:rsidR="00F36290">
        <w:rPr>
          <w:lang w:val="en-GB"/>
        </w:rPr>
        <w:t>k</w:t>
      </w:r>
      <w:r>
        <w:rPr>
          <w:lang w:val="en-GB"/>
        </w:rPr>
        <w:t>hoản 1 Mục I của Thông tư  này:</w:t>
      </w:r>
    </w:p>
    <w:p w:rsidR="007B4EF3" w:rsidRDefault="007B4EF3" w:rsidP="0087077B">
      <w:pPr>
        <w:spacing w:line="360" w:lineRule="atLeast"/>
        <w:jc w:val="both"/>
        <w:rPr>
          <w:lang w:val="en-GB"/>
        </w:rPr>
      </w:pPr>
      <w:r>
        <w:rPr>
          <w:lang w:val="en-GB"/>
        </w:rPr>
        <w:tab/>
      </w:r>
      <w:r w:rsidR="00F02FC4">
        <w:t>Sở Giáo dục và Đào tạo, Sở Lao động - Thương binh và Xã hội</w:t>
      </w:r>
      <w:r w:rsidR="004A2C9F">
        <w:t xml:space="preserve"> (đối với các cơ sở dạy nghề)</w:t>
      </w:r>
      <w:r>
        <w:rPr>
          <w:lang w:val="en-GB"/>
        </w:rPr>
        <w:t xml:space="preserve"> có trách nhiệm tổng hợp nhu cầu điều chỉnh mức học bổng chính sách </w:t>
      </w:r>
      <w:r w:rsidR="00F36290">
        <w:rPr>
          <w:lang w:val="en-GB"/>
        </w:rPr>
        <w:t>của các đối tượng quy định tại k</w:t>
      </w:r>
      <w:r>
        <w:rPr>
          <w:lang w:val="en-GB"/>
        </w:rPr>
        <w:t xml:space="preserve">hoản 1 Mục I của Thông tư này, gửi về </w:t>
      </w:r>
      <w:r w:rsidR="00F02FC4">
        <w:rPr>
          <w:lang w:val="en-GB"/>
        </w:rPr>
        <w:t>S</w:t>
      </w:r>
      <w:r>
        <w:rPr>
          <w:lang w:val="en-GB"/>
        </w:rPr>
        <w:t xml:space="preserve">ở </w:t>
      </w:r>
      <w:r w:rsidR="00F02FC4">
        <w:rPr>
          <w:lang w:val="en-GB"/>
        </w:rPr>
        <w:t>T</w:t>
      </w:r>
      <w:r>
        <w:rPr>
          <w:lang w:val="en-GB"/>
        </w:rPr>
        <w:t>ài chính cùng với thời điểm gửi báo cáo về nhu cầu bổ sung kinh phí thự</w:t>
      </w:r>
      <w:r w:rsidR="00F36290">
        <w:rPr>
          <w:lang w:val="en-GB"/>
        </w:rPr>
        <w:t>c hiện cải cách tiền lương (Phụ lục III</w:t>
      </w:r>
      <w:r>
        <w:rPr>
          <w:lang w:val="en-GB"/>
        </w:rPr>
        <w:t>).</w:t>
      </w:r>
    </w:p>
    <w:p w:rsidR="007B4EF3" w:rsidRDefault="007B4EF3" w:rsidP="0087077B">
      <w:pPr>
        <w:spacing w:line="360" w:lineRule="atLeast"/>
        <w:jc w:val="both"/>
        <w:rPr>
          <w:lang w:val="en-GB"/>
        </w:rPr>
      </w:pPr>
      <w:r>
        <w:rPr>
          <w:lang w:val="en-GB"/>
        </w:rPr>
        <w:tab/>
        <w:t xml:space="preserve">b) Đối với trường hợp </w:t>
      </w:r>
      <w:r w:rsidRPr="00FB55A7">
        <w:rPr>
          <w:lang w:val="en-GB"/>
        </w:rPr>
        <w:t>học sinh, sinh viê</w:t>
      </w:r>
      <w:r w:rsidR="00F36290" w:rsidRPr="00FB55A7">
        <w:rPr>
          <w:lang w:val="en-GB"/>
        </w:rPr>
        <w:t>n</w:t>
      </w:r>
      <w:r w:rsidR="00DF7DD2" w:rsidRPr="00FB55A7">
        <w:rPr>
          <w:lang w:val="en-GB"/>
        </w:rPr>
        <w:t xml:space="preserve">; học viên </w:t>
      </w:r>
      <w:r w:rsidR="00F36290" w:rsidRPr="00FB55A7">
        <w:rPr>
          <w:lang w:val="en-GB"/>
        </w:rPr>
        <w:t>thuộc</w:t>
      </w:r>
      <w:r w:rsidR="00F36290">
        <w:rPr>
          <w:lang w:val="en-GB"/>
        </w:rPr>
        <w:t xml:space="preserve"> đối tượng quy định tại khoản 2 và </w:t>
      </w:r>
      <w:r w:rsidR="00DF7DD2">
        <w:rPr>
          <w:lang w:val="en-GB"/>
        </w:rPr>
        <w:t xml:space="preserve"> </w:t>
      </w:r>
      <w:r w:rsidR="00F36290" w:rsidRPr="00FB55A7">
        <w:rPr>
          <w:lang w:val="en-GB"/>
        </w:rPr>
        <w:t>k</w:t>
      </w:r>
      <w:r w:rsidRPr="00FB55A7">
        <w:rPr>
          <w:lang w:val="en-GB"/>
        </w:rPr>
        <w:t>hoản 3 Mục</w:t>
      </w:r>
      <w:r>
        <w:rPr>
          <w:lang w:val="en-GB"/>
        </w:rPr>
        <w:t xml:space="preserve"> I của Thông tư </w:t>
      </w:r>
      <w:r w:rsidR="00FB55A7">
        <w:rPr>
          <w:lang w:val="en-GB"/>
        </w:rPr>
        <w:t xml:space="preserve"> </w:t>
      </w:r>
      <w:r>
        <w:rPr>
          <w:lang w:val="en-GB"/>
        </w:rPr>
        <w:t>này:</w:t>
      </w:r>
    </w:p>
    <w:p w:rsidR="007B4EF3" w:rsidRDefault="007B4EF3" w:rsidP="0087077B">
      <w:pPr>
        <w:spacing w:line="360" w:lineRule="atLeast"/>
        <w:jc w:val="both"/>
        <w:rPr>
          <w:lang w:val="en-GB"/>
        </w:rPr>
      </w:pPr>
      <w:r>
        <w:rPr>
          <w:lang w:val="en-GB"/>
        </w:rPr>
        <w:tab/>
        <w:t xml:space="preserve">Trên cơ sở đề nghị của các </w:t>
      </w:r>
      <w:r w:rsidR="005C2207">
        <w:rPr>
          <w:lang w:val="en-GB"/>
        </w:rPr>
        <w:t xml:space="preserve">cơ sở giáo dục có đối tượng thụ hưởng học bổng chính sách, các cơ quan chủ quản của các đơn vị trực thuộc </w:t>
      </w:r>
      <w:r>
        <w:rPr>
          <w:lang w:val="en-GB"/>
        </w:rPr>
        <w:t xml:space="preserve">các Bộ, cơ quan </w:t>
      </w:r>
      <w:r w:rsidR="0044192D">
        <w:rPr>
          <w:lang w:val="en-GB"/>
        </w:rPr>
        <w:t>T</w:t>
      </w:r>
      <w:r>
        <w:rPr>
          <w:lang w:val="en-GB"/>
        </w:rPr>
        <w:t>rung ương và các</w:t>
      </w:r>
      <w:r w:rsidR="00F36290">
        <w:rPr>
          <w:lang w:val="en-GB"/>
        </w:rPr>
        <w:t xml:space="preserve"> cơ quan cấp tỉnh</w:t>
      </w:r>
      <w:r>
        <w:rPr>
          <w:lang w:val="en-GB"/>
        </w:rPr>
        <w:t xml:space="preserve"> có trách nhiệm thẩm định và tổng hợp báo cáo nhu cầu thực hiện điều chỉnh mức học bổng chính sách của các đơn vị trực thuộc, gửi về Bộ Tài chính (đối với các cơ quan </w:t>
      </w:r>
      <w:r w:rsidR="0044192D">
        <w:rPr>
          <w:lang w:val="en-GB"/>
        </w:rPr>
        <w:t>T</w:t>
      </w:r>
      <w:r w:rsidR="00F02FC4">
        <w:rPr>
          <w:lang w:val="en-GB"/>
        </w:rPr>
        <w:t>rung ương) hoặc gửi S</w:t>
      </w:r>
      <w:r>
        <w:rPr>
          <w:lang w:val="en-GB"/>
        </w:rPr>
        <w:t xml:space="preserve">ở </w:t>
      </w:r>
      <w:r w:rsidR="00F02FC4">
        <w:rPr>
          <w:lang w:val="en-GB"/>
        </w:rPr>
        <w:t>T</w:t>
      </w:r>
      <w:r>
        <w:rPr>
          <w:lang w:val="en-GB"/>
        </w:rPr>
        <w:t>ài chính (đối với cơ quan địa phương) cùng với thời điểm gửi báo cáo về nhu cầu bổ sung kinh phí thực hiện cải cách tiền lư</w:t>
      </w:r>
      <w:r w:rsidR="00F36290">
        <w:rPr>
          <w:lang w:val="en-GB"/>
        </w:rPr>
        <w:t>ơng (Phụ lục III</w:t>
      </w:r>
      <w:r>
        <w:rPr>
          <w:lang w:val="en-GB"/>
        </w:rPr>
        <w:t>).</w:t>
      </w:r>
    </w:p>
    <w:p w:rsidR="007B4EF3" w:rsidRDefault="007B4EF3" w:rsidP="0087077B">
      <w:pPr>
        <w:spacing w:line="360" w:lineRule="atLeast"/>
        <w:jc w:val="both"/>
        <w:rPr>
          <w:lang w:val="en-GB"/>
        </w:rPr>
      </w:pPr>
      <w:r>
        <w:rPr>
          <w:lang w:val="en-GB"/>
        </w:rPr>
        <w:tab/>
        <w:t>2. Nhu cầu kinh phí điều chỉnh mức học bổng chính sách do điều chỉnh mức lương tối thiểu chung của Nhà nước nhưng chưa được bố trí trong dự toán Ngân sách giao đầu năm của địa phương được xử lý như sau:</w:t>
      </w:r>
    </w:p>
    <w:p w:rsidR="007B4EF3" w:rsidRDefault="007B4EF3" w:rsidP="0087077B">
      <w:pPr>
        <w:spacing w:line="360" w:lineRule="atLeast"/>
        <w:jc w:val="both"/>
        <w:rPr>
          <w:lang w:val="en-GB"/>
        </w:rPr>
      </w:pPr>
      <w:r>
        <w:rPr>
          <w:lang w:val="en-GB"/>
        </w:rPr>
        <w:tab/>
        <w:t>a) Đối với những địa phương có khó khăn về nguồn kinh phí (</w:t>
      </w:r>
      <w:r w:rsidR="0044192D">
        <w:rPr>
          <w:lang w:val="en-GB"/>
        </w:rPr>
        <w:t>các tỉnh, thành phố trực thuộc T</w:t>
      </w:r>
      <w:r>
        <w:rPr>
          <w:lang w:val="en-GB"/>
        </w:rPr>
        <w:t xml:space="preserve">rung ương nhận bổ sung cân đối từ Ngân sách </w:t>
      </w:r>
      <w:r w:rsidR="0044192D">
        <w:rPr>
          <w:lang w:val="en-GB"/>
        </w:rPr>
        <w:t>T</w:t>
      </w:r>
      <w:r>
        <w:rPr>
          <w:lang w:val="en-GB"/>
        </w:rPr>
        <w:t>rung ương và các địa phương c</w:t>
      </w:r>
      <w:r w:rsidR="0044192D">
        <w:rPr>
          <w:lang w:val="en-GB"/>
        </w:rPr>
        <w:t>ó tỷ lệ điều tiết về Ngân sách T</w:t>
      </w:r>
      <w:r>
        <w:rPr>
          <w:lang w:val="en-GB"/>
        </w:rPr>
        <w:t>rung ương từ dưới 5%</w:t>
      </w:r>
      <w:r w:rsidR="0044192D">
        <w:rPr>
          <w:lang w:val="en-GB"/>
        </w:rPr>
        <w:t>), Ngân sách T</w:t>
      </w:r>
      <w:r>
        <w:rPr>
          <w:lang w:val="en-GB"/>
        </w:rPr>
        <w:t>rung ương hỗ trợ 100%.</w:t>
      </w:r>
    </w:p>
    <w:p w:rsidR="007B4EF3" w:rsidRDefault="007B4EF3" w:rsidP="0087077B">
      <w:pPr>
        <w:spacing w:line="360" w:lineRule="atLeast"/>
        <w:jc w:val="both"/>
        <w:rPr>
          <w:lang w:val="en-GB"/>
        </w:rPr>
      </w:pPr>
      <w:r>
        <w:rPr>
          <w:lang w:val="en-GB"/>
        </w:rPr>
        <w:tab/>
        <w:t>b) Đối với những địa phương còn lại, Uỷ ban nhân dân cấp tỉnh chủ động sắp xếp trong phạm vi của Ngân sách địa phương để thực hiện.</w:t>
      </w:r>
    </w:p>
    <w:p w:rsidR="007B4EF3" w:rsidRDefault="007B4EF3" w:rsidP="0087077B">
      <w:pPr>
        <w:spacing w:line="360" w:lineRule="atLeast"/>
        <w:jc w:val="both"/>
        <w:rPr>
          <w:lang w:val="en-GB"/>
        </w:rPr>
      </w:pPr>
      <w:r>
        <w:rPr>
          <w:lang w:val="en-GB"/>
        </w:rPr>
        <w:tab/>
        <w:t>3. Bộ Tài chính có trách nhiệm thẩm định báo cáo nhu cầu kinh phí thực hiện điều chỉnh học bổng chính sách của các đơ</w:t>
      </w:r>
      <w:r w:rsidR="0044192D">
        <w:rPr>
          <w:lang w:val="en-GB"/>
        </w:rPr>
        <w:t>n vị trực thuộc các Bộ, ngành ở T</w:t>
      </w:r>
      <w:r>
        <w:rPr>
          <w:lang w:val="en-GB"/>
        </w:rPr>
        <w:t>rung ương để trình Chính phủ quyết định bổ s</w:t>
      </w:r>
      <w:r w:rsidR="0044192D">
        <w:rPr>
          <w:lang w:val="en-GB"/>
        </w:rPr>
        <w:t>ung kinh phí cho các Bộ, ngành ở</w:t>
      </w:r>
      <w:r>
        <w:rPr>
          <w:lang w:val="en-GB"/>
        </w:rPr>
        <w:t xml:space="preserve"> </w:t>
      </w:r>
      <w:r w:rsidR="0044192D">
        <w:rPr>
          <w:lang w:val="en-GB"/>
        </w:rPr>
        <w:t>T</w:t>
      </w:r>
      <w:r>
        <w:rPr>
          <w:lang w:val="en-GB"/>
        </w:rPr>
        <w:t>rung ương.</w:t>
      </w:r>
    </w:p>
    <w:p w:rsidR="007B4EF3" w:rsidRDefault="007B4EF3" w:rsidP="0087077B">
      <w:pPr>
        <w:spacing w:line="360" w:lineRule="atLeast"/>
        <w:jc w:val="both"/>
        <w:rPr>
          <w:lang w:val="en-GB"/>
        </w:rPr>
      </w:pPr>
      <w:r>
        <w:rPr>
          <w:lang w:val="en-GB"/>
        </w:rPr>
        <w:tab/>
        <w:t xml:space="preserve">Sở </w:t>
      </w:r>
      <w:r w:rsidR="00F02FC4">
        <w:rPr>
          <w:lang w:val="en-GB"/>
        </w:rPr>
        <w:t>T</w:t>
      </w:r>
      <w:r>
        <w:rPr>
          <w:lang w:val="en-GB"/>
        </w:rPr>
        <w:t xml:space="preserve">ài chính </w:t>
      </w:r>
      <w:r w:rsidR="0044192D">
        <w:rPr>
          <w:lang w:val="en-GB"/>
        </w:rPr>
        <w:t>các tỉnh, thành phố trực thuộc T</w:t>
      </w:r>
      <w:r>
        <w:rPr>
          <w:lang w:val="en-GB"/>
        </w:rPr>
        <w:t xml:space="preserve">rung ương có trách nhiệm thẩm định báo cáo nhu cầu kinh phí thực hiện điều chỉnh học bổng chính sách của </w:t>
      </w:r>
      <w:r w:rsidR="00F02FC4">
        <w:t>Sở Giáo dục và Đào tạo, Sở Lao động - Thương binh và Xã hội</w:t>
      </w:r>
      <w:r>
        <w:rPr>
          <w:lang w:val="en-GB"/>
        </w:rPr>
        <w:t>; tổng hợp báo cáo Uỷ ban nhân dân cấp tỉnh quyết định. Uỷ ban nhân dân cấp tỉnh tổng hợp báo cáo Bộ Tài chính xem xét, bổ sung kinh phí cho các địa phương được hỗ</w:t>
      </w:r>
      <w:r w:rsidR="00F36290">
        <w:rPr>
          <w:lang w:val="en-GB"/>
        </w:rPr>
        <w:t xml:space="preserve"> trợ theo quy định tại </w:t>
      </w:r>
      <w:r w:rsidR="00F02FC4">
        <w:rPr>
          <w:lang w:val="en-GB"/>
        </w:rPr>
        <w:t xml:space="preserve">điểm a </w:t>
      </w:r>
      <w:r w:rsidR="00F36290">
        <w:rPr>
          <w:lang w:val="en-GB"/>
        </w:rPr>
        <w:t>k</w:t>
      </w:r>
      <w:r w:rsidR="005C2207">
        <w:rPr>
          <w:lang w:val="en-GB"/>
        </w:rPr>
        <w:t xml:space="preserve">hoản 2 </w:t>
      </w:r>
      <w:r>
        <w:rPr>
          <w:lang w:val="en-GB"/>
        </w:rPr>
        <w:t>Mục VI của Thông tư này.</w:t>
      </w:r>
    </w:p>
    <w:p w:rsidR="007B4EF3" w:rsidRDefault="007B4EF3" w:rsidP="0087077B">
      <w:pPr>
        <w:spacing w:line="360" w:lineRule="atLeast"/>
        <w:jc w:val="both"/>
        <w:rPr>
          <w:lang w:val="en-GB"/>
        </w:rPr>
      </w:pPr>
      <w:r>
        <w:rPr>
          <w:lang w:val="en-GB"/>
        </w:rPr>
        <w:lastRenderedPageBreak/>
        <w:tab/>
        <w:t xml:space="preserve">4. Sau khi được cơ quan có thẩm quyền quyết định bổ sung kinh phí thực hiện chế độ học bổng chính sách, các </w:t>
      </w:r>
      <w:r w:rsidR="00F02FC4">
        <w:t>Sở Giáo dục và Đào tạo hoặc Sở Lao động - Thương binh và Xã hội</w:t>
      </w:r>
      <w:r>
        <w:rPr>
          <w:lang w:val="en-GB"/>
        </w:rPr>
        <w:t xml:space="preserve"> hoặc cơ sở giáo dục thực hiện </w:t>
      </w:r>
      <w:r w:rsidRPr="00FB55A7">
        <w:rPr>
          <w:lang w:val="en-GB"/>
        </w:rPr>
        <w:t>rút dự toán</w:t>
      </w:r>
      <w:r>
        <w:rPr>
          <w:lang w:val="en-GB"/>
        </w:rPr>
        <w:t xml:space="preserve"> tại Kho bạc nhà nước để thực hiện việc cấp học bổng chính sách tăng thêm của học sinh, sinh viên theo chế độ quy định.</w:t>
      </w:r>
    </w:p>
    <w:p w:rsidR="007B4EF3" w:rsidRDefault="00691E39" w:rsidP="0087077B">
      <w:pPr>
        <w:spacing w:line="360" w:lineRule="atLeast"/>
        <w:jc w:val="both"/>
        <w:rPr>
          <w:lang w:val="en-GB"/>
        </w:rPr>
      </w:pPr>
      <w:r>
        <w:rPr>
          <w:lang w:val="en-GB"/>
        </w:rPr>
        <w:tab/>
        <w:t>5.</w:t>
      </w:r>
      <w:r w:rsidR="007B4EF3">
        <w:rPr>
          <w:lang w:val="en-GB"/>
        </w:rPr>
        <w:t xml:space="preserve">Việc quyết toán kinh phí thực hiện học bổng chính sách thực hiện theo quy định của Luật Ngân sách nhà nước và các văn bản </w:t>
      </w:r>
      <w:r w:rsidR="00F36290">
        <w:rPr>
          <w:lang w:val="en-GB"/>
        </w:rPr>
        <w:t xml:space="preserve">quy phạm </w:t>
      </w:r>
      <w:r w:rsidR="007B4EF3">
        <w:rPr>
          <w:lang w:val="en-GB"/>
        </w:rPr>
        <w:t xml:space="preserve">pháp luật hiện hành. </w:t>
      </w:r>
    </w:p>
    <w:p w:rsidR="007B4EF3" w:rsidRDefault="007B4EF3" w:rsidP="0087077B">
      <w:pPr>
        <w:spacing w:line="360" w:lineRule="atLeast"/>
        <w:jc w:val="both"/>
        <w:rPr>
          <w:b/>
          <w:bCs/>
          <w:lang w:val="en-GB"/>
        </w:rPr>
      </w:pPr>
      <w:r>
        <w:rPr>
          <w:b/>
          <w:bCs/>
          <w:lang w:val="en-GB"/>
        </w:rPr>
        <w:t>VII. TỔ CHỨC THỰC HIỆN</w:t>
      </w:r>
    </w:p>
    <w:p w:rsidR="007B4EF3" w:rsidRDefault="007B4EF3" w:rsidP="0087077B">
      <w:pPr>
        <w:spacing w:line="360" w:lineRule="atLeast"/>
        <w:jc w:val="both"/>
        <w:rPr>
          <w:color w:val="000000"/>
          <w:lang w:val="sv-SE"/>
        </w:rPr>
      </w:pPr>
      <w:r>
        <w:rPr>
          <w:color w:val="000000"/>
          <w:lang w:val="sv-SE"/>
        </w:rPr>
        <w:t xml:space="preserve">       1</w:t>
      </w:r>
      <w:r w:rsidR="00590716">
        <w:rPr>
          <w:color w:val="000000"/>
          <w:lang w:val="sv-SE"/>
        </w:rPr>
        <w:t>. Các Bộ, ngành ở T</w:t>
      </w:r>
      <w:r w:rsidR="004B4931">
        <w:rPr>
          <w:color w:val="000000"/>
          <w:lang w:val="sv-SE"/>
        </w:rPr>
        <w:t>rung ương và Uỷ ban nhân dân cấp tỉnh</w:t>
      </w:r>
      <w:r>
        <w:rPr>
          <w:color w:val="000000"/>
          <w:lang w:val="sv-SE"/>
        </w:rPr>
        <w:t xml:space="preserve"> có trách nhiệm tổ chức, hướng dẫn </w:t>
      </w:r>
      <w:r w:rsidR="00FB55A7">
        <w:rPr>
          <w:color w:val="000000"/>
          <w:lang w:val="sv-SE"/>
        </w:rPr>
        <w:t xml:space="preserve">việc </w:t>
      </w:r>
      <w:r>
        <w:rPr>
          <w:color w:val="000000"/>
          <w:lang w:val="sv-SE"/>
        </w:rPr>
        <w:t>xác định nhu cầu kinh phí và cân đối nguồn kinh phí thực hiện chế độ học bổng chính sách.</w:t>
      </w:r>
    </w:p>
    <w:p w:rsidR="007B4EF3" w:rsidRPr="00691E39" w:rsidRDefault="00691E39" w:rsidP="0087077B">
      <w:pPr>
        <w:pStyle w:val="Footer"/>
        <w:tabs>
          <w:tab w:val="clear" w:pos="4320"/>
          <w:tab w:val="clear" w:pos="8640"/>
        </w:tabs>
        <w:spacing w:line="360" w:lineRule="atLeast"/>
        <w:jc w:val="both"/>
        <w:rPr>
          <w:lang w:val="en-US"/>
        </w:rPr>
      </w:pPr>
      <w:r>
        <w:rPr>
          <w:color w:val="000000"/>
        </w:rPr>
        <w:t xml:space="preserve">      </w:t>
      </w:r>
      <w:r w:rsidR="007B4EF3" w:rsidRPr="005C2207">
        <w:rPr>
          <w:color w:val="000000"/>
        </w:rPr>
        <w:t xml:space="preserve"> 2. </w:t>
      </w:r>
      <w:r w:rsidR="0051157A">
        <w:rPr>
          <w:lang w:val="en-US"/>
        </w:rPr>
        <w:t>Sở Giáo dục và Đào tạo, Sở Lao động - Thương binh và Xã hội</w:t>
      </w:r>
      <w:r w:rsidR="00C33A8D">
        <w:rPr>
          <w:lang w:val="en-US"/>
        </w:rPr>
        <w:t>, cơ sở giáo dục theo thẩm quyền</w:t>
      </w:r>
      <w:r>
        <w:rPr>
          <w:color w:val="000000"/>
        </w:rPr>
        <w:t xml:space="preserve"> </w:t>
      </w:r>
      <w:r>
        <w:rPr>
          <w:lang w:val="en-US"/>
        </w:rPr>
        <w:t>theo dõi, lưu giữ, quản lý hồ sơ và tổ chức cấp học bổng chính sách theo quy định tại khoản 2, Mục V của Thông tư này. S</w:t>
      </w:r>
      <w:r w:rsidR="0044192D" w:rsidRPr="005C2207">
        <w:rPr>
          <w:color w:val="000000"/>
        </w:rPr>
        <w:t xml:space="preserve">ở </w:t>
      </w:r>
      <w:r w:rsidR="0051157A">
        <w:rPr>
          <w:color w:val="000000"/>
        </w:rPr>
        <w:t>T</w:t>
      </w:r>
      <w:r w:rsidR="007B4EF3" w:rsidRPr="005C2207">
        <w:rPr>
          <w:color w:val="000000"/>
        </w:rPr>
        <w:t>ài chính và các cơ quan liên quan hướ</w:t>
      </w:r>
      <w:r w:rsidR="00F07EB2">
        <w:rPr>
          <w:color w:val="000000"/>
        </w:rPr>
        <w:t xml:space="preserve">ng dẫn và tổ chức thực hiện </w:t>
      </w:r>
      <w:r w:rsidR="0044192D" w:rsidRPr="005C2207">
        <w:rPr>
          <w:color w:val="000000"/>
        </w:rPr>
        <w:t>các quy định tại Thông tư này, h</w:t>
      </w:r>
      <w:r w:rsidR="007B4EF3" w:rsidRPr="005C2207">
        <w:rPr>
          <w:color w:val="000000"/>
        </w:rPr>
        <w:t>ằng năm tổng hợp</w:t>
      </w:r>
      <w:r w:rsidR="007B4EF3" w:rsidRPr="00FB55A7">
        <w:rPr>
          <w:color w:val="000000"/>
        </w:rPr>
        <w:t>, báo cáo theo</w:t>
      </w:r>
      <w:r w:rsidR="007B4EF3" w:rsidRPr="005C2207">
        <w:rPr>
          <w:color w:val="000000"/>
        </w:rPr>
        <w:t xml:space="preserve"> quy định; đồng thời có trách nhiệm kiểm tra, thanh tra việc chấp hành chế độ học bổng chính sách ở địa phương.</w:t>
      </w:r>
    </w:p>
    <w:p w:rsidR="00590716" w:rsidRDefault="007B4EF3" w:rsidP="0087077B">
      <w:pPr>
        <w:spacing w:line="360" w:lineRule="atLeast"/>
        <w:jc w:val="both"/>
        <w:rPr>
          <w:color w:val="000000"/>
          <w:lang w:val="sv-SE"/>
        </w:rPr>
      </w:pPr>
      <w:r>
        <w:rPr>
          <w:color w:val="000000"/>
          <w:lang w:val="sv-SE"/>
        </w:rPr>
        <w:t xml:space="preserve">       3.</w:t>
      </w:r>
      <w:r w:rsidR="0044192D">
        <w:rPr>
          <w:color w:val="000000"/>
          <w:lang w:val="sv-SE"/>
        </w:rPr>
        <w:t xml:space="preserve"> C</w:t>
      </w:r>
      <w:r>
        <w:rPr>
          <w:color w:val="000000"/>
          <w:lang w:val="sv-SE"/>
        </w:rPr>
        <w:t>ác cơ sở giáo dục có học sinh, sinh viên diện cử tuyển đang theo học có trách nhiệm tạm ứng kinh phí tiếp tục cấp học bổng chính sách theo mức quy định tại Thông tư này</w:t>
      </w:r>
      <w:r w:rsidR="0044192D" w:rsidRPr="0044192D">
        <w:rPr>
          <w:color w:val="000000"/>
          <w:lang w:val="sv-SE"/>
        </w:rPr>
        <w:t xml:space="preserve"> </w:t>
      </w:r>
      <w:r w:rsidR="0044192D">
        <w:rPr>
          <w:color w:val="000000"/>
          <w:lang w:val="sv-SE"/>
        </w:rPr>
        <w:t>trong quý I năm 2008</w:t>
      </w:r>
      <w:r>
        <w:rPr>
          <w:color w:val="000000"/>
          <w:lang w:val="sv-SE"/>
        </w:rPr>
        <w:t xml:space="preserve"> để đảm bảo quyền lợi học tập của học sinh, sinh viên đang học tại trường và gửi thông báo về Uỷ ban nhân dân cấp tỉnh về số kinh phí đã tạm ứng.</w:t>
      </w:r>
    </w:p>
    <w:p w:rsidR="007B4EF3" w:rsidRDefault="007B4EF3" w:rsidP="0087077B">
      <w:pPr>
        <w:spacing w:line="360" w:lineRule="atLeast"/>
        <w:ind w:firstLine="720"/>
        <w:jc w:val="both"/>
        <w:rPr>
          <w:color w:val="000000"/>
          <w:lang w:val="sv-SE"/>
        </w:rPr>
      </w:pPr>
      <w:r>
        <w:rPr>
          <w:color w:val="000000"/>
          <w:lang w:val="sv-SE"/>
        </w:rPr>
        <w:t>Căn cứ vào số lượng đối tượng học sinh, sinh viên diện chính sách đã được cấp học bổng cho các cơ sở giáo dục thông báo, Uỷ ban nhân dân các tỉnh có trách nhiệm hoàn trả kinh phí cho các cơ sở giáo dục nơi có người học của địa phương đang theo học phần kinh phí đã tạm ứng của các cơ sở giáo dục đó.</w:t>
      </w:r>
    </w:p>
    <w:p w:rsidR="007B4EF3" w:rsidRDefault="007B4EF3" w:rsidP="0087077B">
      <w:pPr>
        <w:spacing w:line="360" w:lineRule="atLeast"/>
        <w:jc w:val="both"/>
        <w:rPr>
          <w:color w:val="000000"/>
          <w:lang w:val="sv-SE"/>
        </w:rPr>
      </w:pPr>
      <w:r>
        <w:rPr>
          <w:color w:val="000000"/>
          <w:lang w:val="sv-SE"/>
        </w:rPr>
        <w:tab/>
        <w:t xml:space="preserve">Các cơ sở giáo dục có trách nhiệm </w:t>
      </w:r>
      <w:r w:rsidR="0051157A">
        <w:rPr>
          <w:color w:val="000000"/>
          <w:lang w:val="sv-SE"/>
        </w:rPr>
        <w:t>cùng với</w:t>
      </w:r>
      <w:r w:rsidR="00F07EB2">
        <w:rPr>
          <w:color w:val="000000"/>
          <w:lang w:val="sv-SE"/>
        </w:rPr>
        <w:t xml:space="preserve"> Uỷ ban nhân dân cấp tỉnh </w:t>
      </w:r>
      <w:r>
        <w:rPr>
          <w:color w:val="000000"/>
          <w:lang w:val="sv-SE"/>
        </w:rPr>
        <w:t xml:space="preserve">phổ biến công khai về </w:t>
      </w:r>
      <w:r w:rsidR="00F07EB2">
        <w:rPr>
          <w:color w:val="000000"/>
          <w:lang w:val="sv-SE"/>
        </w:rPr>
        <w:t>hồ sơ và thủ tục</w:t>
      </w:r>
      <w:r>
        <w:rPr>
          <w:color w:val="000000"/>
          <w:lang w:val="sv-SE"/>
        </w:rPr>
        <w:t xml:space="preserve"> cấp học bổng chính sách đảm bảo không làm gián đoạn, ảnh hưởng đến quá trình học tập của người học.</w:t>
      </w:r>
    </w:p>
    <w:p w:rsidR="007B4EF3" w:rsidRDefault="007B4EF3" w:rsidP="0087077B">
      <w:pPr>
        <w:spacing w:line="360" w:lineRule="atLeast"/>
        <w:jc w:val="both"/>
        <w:rPr>
          <w:color w:val="000000"/>
          <w:lang w:val="sv-SE"/>
        </w:rPr>
      </w:pPr>
      <w:r>
        <w:rPr>
          <w:color w:val="000000"/>
          <w:lang w:val="sv-SE"/>
        </w:rPr>
        <w:tab/>
        <w:t xml:space="preserve">Từ các năm học tiếp theo, các cơ </w:t>
      </w:r>
      <w:r w:rsidR="00F12503">
        <w:rPr>
          <w:color w:val="000000"/>
          <w:lang w:val="sv-SE"/>
        </w:rPr>
        <w:t>sở giáo dục có trách nhiệm</w:t>
      </w:r>
      <w:r>
        <w:rPr>
          <w:color w:val="000000"/>
          <w:lang w:val="sv-SE"/>
        </w:rPr>
        <w:t xml:space="preserve"> báo </w:t>
      </w:r>
      <w:r w:rsidR="00F12503">
        <w:rPr>
          <w:color w:val="000000"/>
          <w:lang w:val="sv-SE"/>
        </w:rPr>
        <w:t xml:space="preserve">cáo </w:t>
      </w:r>
      <w:r>
        <w:rPr>
          <w:color w:val="000000"/>
          <w:lang w:val="sv-SE"/>
        </w:rPr>
        <w:t xml:space="preserve">cho Uỷ ban nhân dân cấp tỉnh hoặc cơ quan </w:t>
      </w:r>
      <w:r w:rsidR="00F12503">
        <w:rPr>
          <w:color w:val="000000"/>
          <w:lang w:val="sv-SE"/>
        </w:rPr>
        <w:t>chuyên môn của Uỷ ban nhân dân cấp tỉnh được ủy quyền</w:t>
      </w:r>
      <w:r>
        <w:rPr>
          <w:color w:val="000000"/>
          <w:lang w:val="sv-SE"/>
        </w:rPr>
        <w:t xml:space="preserve"> (vào thời điểm cuối mỗi kỳ của năm học) về số lượng học sinh, sinh viên diện cử tuyển đang theo học; số học sinh bỏ học; lý do bỏ học để làm cơ sở lập dự toán kinh phí cấp học bổng chính sách theo chế độ quy định.</w:t>
      </w:r>
    </w:p>
    <w:p w:rsidR="007B4EF3" w:rsidRPr="00626497" w:rsidRDefault="007B4EF3" w:rsidP="0087077B">
      <w:pPr>
        <w:spacing w:line="360" w:lineRule="atLeast"/>
        <w:jc w:val="both"/>
        <w:rPr>
          <w:color w:val="000000"/>
          <w:lang w:val="sv-SE"/>
        </w:rPr>
      </w:pPr>
      <w:r>
        <w:rPr>
          <w:color w:val="000000"/>
          <w:lang w:val="sv-SE"/>
        </w:rPr>
        <w:t xml:space="preserve">      4. Thông tư này có hiệu lực thi hành sau 15 ngày, kể từ ngày đăng Công báo và </w:t>
      </w:r>
      <w:r w:rsidRPr="00626497">
        <w:rPr>
          <w:color w:val="000000"/>
          <w:lang w:val="sv-SE"/>
        </w:rPr>
        <w:t>thay thế cho các quy định về học bổng chính sách tại Thông tư Liên tịch số 53/</w:t>
      </w:r>
      <w:r w:rsidR="00F07EB2" w:rsidRPr="00626497">
        <w:rPr>
          <w:color w:val="000000"/>
          <w:lang w:val="sv-SE"/>
        </w:rPr>
        <w:t>1998/</w:t>
      </w:r>
      <w:r w:rsidRPr="00626497">
        <w:rPr>
          <w:color w:val="000000"/>
          <w:lang w:val="sv-SE"/>
        </w:rPr>
        <w:t>TT-LT/BGD&amp;ĐT-BTC-BLĐTB</w:t>
      </w:r>
      <w:r w:rsidR="00F07EB2" w:rsidRPr="00626497">
        <w:rPr>
          <w:color w:val="000000"/>
          <w:lang w:val="sv-SE"/>
        </w:rPr>
        <w:t>&amp;</w:t>
      </w:r>
      <w:r w:rsidRPr="00626497">
        <w:rPr>
          <w:color w:val="000000"/>
          <w:lang w:val="sv-SE"/>
        </w:rPr>
        <w:t>XH ngày 25 tháng 8 năm 1998</w:t>
      </w:r>
      <w:r w:rsidR="008358BE">
        <w:rPr>
          <w:color w:val="000000"/>
          <w:lang w:val="sv-SE"/>
        </w:rPr>
        <w:t xml:space="preserve"> Liên tịch Bộ Giáo dục và Đào tạo</w:t>
      </w:r>
      <w:r w:rsidR="005E5E2F">
        <w:rPr>
          <w:color w:val="000000"/>
          <w:lang w:val="sv-SE"/>
        </w:rPr>
        <w:t xml:space="preserve">, </w:t>
      </w:r>
      <w:r w:rsidR="008358BE">
        <w:rPr>
          <w:color w:val="000000"/>
          <w:lang w:val="sv-SE"/>
        </w:rPr>
        <w:t>Bộ Tài chính</w:t>
      </w:r>
      <w:r w:rsidR="005E5E2F">
        <w:rPr>
          <w:color w:val="000000"/>
          <w:lang w:val="sv-SE"/>
        </w:rPr>
        <w:t xml:space="preserve">, </w:t>
      </w:r>
      <w:r w:rsidR="008358BE">
        <w:rPr>
          <w:color w:val="000000"/>
          <w:lang w:val="sv-SE"/>
        </w:rPr>
        <w:t>Bộ Lao động</w:t>
      </w:r>
      <w:r w:rsidR="005E5E2F">
        <w:rPr>
          <w:color w:val="000000"/>
          <w:lang w:val="sv-SE"/>
        </w:rPr>
        <w:t xml:space="preserve"> -</w:t>
      </w:r>
      <w:r w:rsidR="008358BE">
        <w:rPr>
          <w:color w:val="000000"/>
          <w:lang w:val="sv-SE"/>
        </w:rPr>
        <w:t xml:space="preserve"> </w:t>
      </w:r>
      <w:r w:rsidR="005E5E2F">
        <w:rPr>
          <w:color w:val="000000"/>
          <w:lang w:val="sv-SE"/>
        </w:rPr>
        <w:t>T</w:t>
      </w:r>
      <w:r w:rsidR="008358BE">
        <w:rPr>
          <w:color w:val="000000"/>
          <w:lang w:val="sv-SE"/>
        </w:rPr>
        <w:t xml:space="preserve">hương binh và </w:t>
      </w:r>
      <w:r w:rsidR="005E5E2F">
        <w:rPr>
          <w:color w:val="000000"/>
          <w:lang w:val="sv-SE"/>
        </w:rPr>
        <w:t>X</w:t>
      </w:r>
      <w:r w:rsidR="008358BE">
        <w:rPr>
          <w:color w:val="000000"/>
          <w:lang w:val="sv-SE"/>
        </w:rPr>
        <w:t xml:space="preserve">ã </w:t>
      </w:r>
      <w:r w:rsidR="008358BE">
        <w:rPr>
          <w:color w:val="000000"/>
          <w:lang w:val="sv-SE"/>
        </w:rPr>
        <w:lastRenderedPageBreak/>
        <w:t xml:space="preserve">hội </w:t>
      </w:r>
      <w:r w:rsidR="004B4931">
        <w:rPr>
          <w:color w:val="000000"/>
          <w:lang w:val="sv-SE"/>
        </w:rPr>
        <w:t>h</w:t>
      </w:r>
      <w:r w:rsidR="00F07EB2" w:rsidRPr="00626497">
        <w:rPr>
          <w:color w:val="000000"/>
          <w:lang w:val="sv-SE"/>
        </w:rPr>
        <w:t xml:space="preserve">ướng dẫn thực hiện chế độ học bổng và trợ cấp xã hội đối với học sinh, sinh viên các trường đào </w:t>
      </w:r>
      <w:r w:rsidR="008358BE">
        <w:rPr>
          <w:color w:val="000000"/>
          <w:lang w:val="sv-SE"/>
        </w:rPr>
        <w:t>tạo công lập</w:t>
      </w:r>
      <w:r w:rsidR="00626497" w:rsidRPr="00626497">
        <w:rPr>
          <w:color w:val="000000"/>
          <w:lang w:val="sv-SE"/>
        </w:rPr>
        <w:t>,</w:t>
      </w:r>
      <w:r w:rsidR="008358BE">
        <w:rPr>
          <w:color w:val="000000"/>
          <w:lang w:val="sv-SE"/>
        </w:rPr>
        <w:t xml:space="preserve"> </w:t>
      </w:r>
      <w:r w:rsidRPr="00626497">
        <w:rPr>
          <w:color w:val="000000"/>
          <w:lang w:val="sv-SE"/>
        </w:rPr>
        <w:t>Thông tư liên tịch số 13/2002/TTLT-BGD&amp;ĐT-BTC ngày 28 tháng 3 năm 2002</w:t>
      </w:r>
      <w:r w:rsidR="00626497" w:rsidRPr="00626497">
        <w:rPr>
          <w:color w:val="000000"/>
          <w:lang w:val="sv-SE"/>
        </w:rPr>
        <w:t xml:space="preserve"> của Liên Bộ Bộ Giá</w:t>
      </w:r>
      <w:r w:rsidR="008358BE">
        <w:rPr>
          <w:color w:val="000000"/>
          <w:lang w:val="sv-SE"/>
        </w:rPr>
        <w:t>o dục và Đào tạo, Bộ Tài chính h</w:t>
      </w:r>
      <w:r w:rsidR="00626497" w:rsidRPr="00626497">
        <w:rPr>
          <w:color w:val="000000"/>
          <w:lang w:val="sv-SE"/>
        </w:rPr>
        <w:t xml:space="preserve">ướng dẫn thực hiện Quyết </w:t>
      </w:r>
      <w:r w:rsidR="00D63E44">
        <w:rPr>
          <w:color w:val="000000"/>
          <w:lang w:val="sv-SE"/>
        </w:rPr>
        <w:t xml:space="preserve">định số 194/2001/QĐ-TTg ngày 21 tháng 12 năm </w:t>
      </w:r>
      <w:r w:rsidR="00626497" w:rsidRPr="00626497">
        <w:rPr>
          <w:color w:val="000000"/>
          <w:lang w:val="sv-SE"/>
        </w:rPr>
        <w:t>2001 của Thủ tướng Chính phủ về việc điều chỉnh mức học bổng chính sách và trợ cấp xã hội đối với học sinh, sinh viên là người dân tộc thiểu số học tại các trường đào tạo công lập quy định tại Quyết định số 1121/1997/QĐ-TTg ngày 23</w:t>
      </w:r>
      <w:r w:rsidR="00D63E44">
        <w:rPr>
          <w:color w:val="000000"/>
          <w:lang w:val="sv-SE"/>
        </w:rPr>
        <w:t xml:space="preserve"> tháng</w:t>
      </w:r>
      <w:r w:rsidR="00626497" w:rsidRPr="00626497">
        <w:rPr>
          <w:color w:val="000000"/>
          <w:lang w:val="sv-SE"/>
        </w:rPr>
        <w:t>12</w:t>
      </w:r>
      <w:r w:rsidR="00D63E44">
        <w:rPr>
          <w:color w:val="000000"/>
          <w:lang w:val="sv-SE"/>
        </w:rPr>
        <w:t xml:space="preserve"> năm </w:t>
      </w:r>
      <w:r w:rsidR="00626497" w:rsidRPr="00626497">
        <w:rPr>
          <w:color w:val="000000"/>
          <w:lang w:val="sv-SE"/>
        </w:rPr>
        <w:t>1997 của Thủ tướng Chính phủ</w:t>
      </w:r>
      <w:r w:rsidRPr="00626497">
        <w:rPr>
          <w:color w:val="000000"/>
          <w:lang w:val="sv-SE"/>
        </w:rPr>
        <w:t>.</w:t>
      </w:r>
    </w:p>
    <w:p w:rsidR="007B4EF3" w:rsidRPr="00F02FC4" w:rsidRDefault="007B4EF3" w:rsidP="0087077B">
      <w:pPr>
        <w:pStyle w:val="BodyTextIndent"/>
        <w:spacing w:before="0"/>
        <w:rPr>
          <w:lang w:val="sv-SE"/>
        </w:rPr>
      </w:pPr>
      <w:r w:rsidRPr="00F02FC4">
        <w:rPr>
          <w:lang w:val="sv-SE"/>
        </w:rPr>
        <w:t>Trong quá trình triển khai thự</w:t>
      </w:r>
      <w:r w:rsidR="009907D5" w:rsidRPr="00F02FC4">
        <w:rPr>
          <w:lang w:val="sv-SE"/>
        </w:rPr>
        <w:t>c hiện, nếu có vướng mắc cần phản án</w:t>
      </w:r>
      <w:r w:rsidR="00F12503" w:rsidRPr="00F02FC4">
        <w:rPr>
          <w:lang w:val="sv-SE"/>
        </w:rPr>
        <w:t>h về Bộ Giáo dục và Đào tạo,</w:t>
      </w:r>
      <w:r w:rsidR="009907D5" w:rsidRPr="00F02FC4">
        <w:rPr>
          <w:lang w:val="sv-SE"/>
        </w:rPr>
        <w:t xml:space="preserve"> Bộ Lao </w:t>
      </w:r>
      <w:r w:rsidR="00F12503" w:rsidRPr="00F02FC4">
        <w:rPr>
          <w:lang w:val="sv-SE"/>
        </w:rPr>
        <w:t>động –Thương binh và Xã hội,</w:t>
      </w:r>
      <w:r w:rsidR="009907D5" w:rsidRPr="00F02FC4">
        <w:rPr>
          <w:lang w:val="sv-SE"/>
        </w:rPr>
        <w:t xml:space="preserve"> Bộ Tài chính  để xem xét</w:t>
      </w:r>
      <w:r w:rsidRPr="00F02FC4">
        <w:rPr>
          <w:lang w:val="sv-SE"/>
        </w:rPr>
        <w:t>, giải quyết./.</w:t>
      </w:r>
    </w:p>
    <w:p w:rsidR="007B4EF3" w:rsidRPr="00F02FC4" w:rsidRDefault="007B4EF3" w:rsidP="00626497">
      <w:pPr>
        <w:pStyle w:val="BodyTextIndent"/>
        <w:spacing w:before="0" w:line="380" w:lineRule="atLeast"/>
        <w:rPr>
          <w:lang w:val="sv-SE"/>
        </w:rPr>
      </w:pPr>
    </w:p>
    <w:tbl>
      <w:tblPr>
        <w:tblW w:w="0" w:type="auto"/>
        <w:tblLook w:val="0000" w:firstRow="0" w:lastRow="0" w:firstColumn="0" w:lastColumn="0" w:noHBand="0" w:noVBand="0"/>
      </w:tblPr>
      <w:tblGrid>
        <w:gridCol w:w="9288"/>
      </w:tblGrid>
      <w:tr w:rsidR="007B4EF3" w:rsidRPr="00F02FC4">
        <w:tblPrEx>
          <w:tblCellMar>
            <w:top w:w="0" w:type="dxa"/>
            <w:bottom w:w="0" w:type="dxa"/>
          </w:tblCellMar>
        </w:tblPrEx>
        <w:tc>
          <w:tcPr>
            <w:tcW w:w="9571" w:type="dxa"/>
          </w:tcPr>
          <w:tbl>
            <w:tblPr>
              <w:tblW w:w="10026" w:type="dxa"/>
              <w:tblLook w:val="0000" w:firstRow="0" w:lastRow="0" w:firstColumn="0" w:lastColumn="0" w:noHBand="0" w:noVBand="0"/>
            </w:tblPr>
            <w:tblGrid>
              <w:gridCol w:w="3341"/>
              <w:gridCol w:w="3342"/>
              <w:gridCol w:w="3343"/>
            </w:tblGrid>
            <w:tr w:rsidR="007B4EF3" w:rsidRPr="00F02FC4">
              <w:tblPrEx>
                <w:tblCellMar>
                  <w:top w:w="0" w:type="dxa"/>
                  <w:bottom w:w="0" w:type="dxa"/>
                </w:tblCellMar>
              </w:tblPrEx>
              <w:trPr>
                <w:trHeight w:val="3311"/>
              </w:trPr>
              <w:tc>
                <w:tcPr>
                  <w:tcW w:w="3341" w:type="dxa"/>
                </w:tcPr>
                <w:p w:rsidR="002B10FA" w:rsidRPr="00F02FC4" w:rsidRDefault="002B10FA" w:rsidP="008863AB">
                  <w:pPr>
                    <w:spacing w:line="320" w:lineRule="atLeast"/>
                    <w:jc w:val="center"/>
                    <w:rPr>
                      <w:b/>
                      <w:bCs/>
                      <w:color w:val="000000"/>
                      <w:sz w:val="22"/>
                      <w:szCs w:val="22"/>
                      <w:lang w:val="sv-SE"/>
                    </w:rPr>
                  </w:pPr>
                  <w:r w:rsidRPr="00F02FC4">
                    <w:rPr>
                      <w:b/>
                      <w:bCs/>
                      <w:color w:val="000000"/>
                      <w:sz w:val="22"/>
                      <w:szCs w:val="22"/>
                      <w:lang w:val="sv-SE"/>
                    </w:rPr>
                    <w:t>KT. BỘ TRƯỞNG</w:t>
                  </w:r>
                </w:p>
                <w:p w:rsidR="002B10FA" w:rsidRPr="00F02FC4" w:rsidRDefault="002B10FA" w:rsidP="008863AB">
                  <w:pPr>
                    <w:spacing w:line="320" w:lineRule="atLeast"/>
                    <w:jc w:val="center"/>
                    <w:rPr>
                      <w:b/>
                      <w:bCs/>
                      <w:color w:val="000000"/>
                      <w:sz w:val="22"/>
                      <w:szCs w:val="22"/>
                      <w:lang w:val="sv-SE"/>
                    </w:rPr>
                  </w:pPr>
                  <w:r w:rsidRPr="00F02FC4">
                    <w:rPr>
                      <w:b/>
                      <w:bCs/>
                      <w:color w:val="000000"/>
                      <w:sz w:val="22"/>
                      <w:szCs w:val="22"/>
                      <w:lang w:val="sv-SE"/>
                    </w:rPr>
                    <w:t>BỘ TÀI CHÍNH</w:t>
                  </w:r>
                </w:p>
                <w:p w:rsidR="007B4EF3" w:rsidRPr="00F02FC4" w:rsidRDefault="002B10FA" w:rsidP="008863AB">
                  <w:pPr>
                    <w:spacing w:line="320" w:lineRule="atLeast"/>
                    <w:jc w:val="center"/>
                    <w:rPr>
                      <w:b/>
                      <w:bCs/>
                      <w:color w:val="000000"/>
                      <w:sz w:val="22"/>
                      <w:szCs w:val="22"/>
                      <w:lang w:val="sv-SE"/>
                    </w:rPr>
                  </w:pPr>
                  <w:r w:rsidRPr="00F02FC4">
                    <w:rPr>
                      <w:b/>
                      <w:bCs/>
                      <w:color w:val="000000"/>
                      <w:sz w:val="22"/>
                      <w:szCs w:val="22"/>
                      <w:lang w:val="sv-SE"/>
                    </w:rPr>
                    <w:t>THỨ TRƯỞNG</w:t>
                  </w:r>
                </w:p>
                <w:p w:rsidR="007B4EF3" w:rsidRPr="00F02FC4" w:rsidRDefault="007B4EF3" w:rsidP="008863AB">
                  <w:pPr>
                    <w:spacing w:line="320" w:lineRule="atLeast"/>
                    <w:jc w:val="center"/>
                    <w:rPr>
                      <w:b/>
                      <w:bCs/>
                      <w:color w:val="000000"/>
                      <w:sz w:val="22"/>
                      <w:szCs w:val="22"/>
                      <w:lang w:val="sv-SE"/>
                    </w:rPr>
                  </w:pPr>
                </w:p>
                <w:p w:rsidR="007B4EF3" w:rsidRPr="00F02FC4" w:rsidRDefault="007B4EF3" w:rsidP="008863AB">
                  <w:pPr>
                    <w:spacing w:line="320" w:lineRule="atLeast"/>
                    <w:jc w:val="center"/>
                    <w:rPr>
                      <w:b/>
                      <w:bCs/>
                      <w:color w:val="000000"/>
                      <w:sz w:val="22"/>
                      <w:szCs w:val="22"/>
                      <w:lang w:val="sv-SE"/>
                    </w:rPr>
                  </w:pPr>
                </w:p>
                <w:p w:rsidR="007B4EF3" w:rsidRPr="00F02FC4" w:rsidRDefault="005D3D19" w:rsidP="008863AB">
                  <w:pPr>
                    <w:spacing w:line="320" w:lineRule="atLeast"/>
                    <w:jc w:val="center"/>
                    <w:rPr>
                      <w:b/>
                      <w:bCs/>
                      <w:color w:val="000000"/>
                      <w:sz w:val="22"/>
                      <w:szCs w:val="22"/>
                      <w:lang w:val="sv-SE"/>
                    </w:rPr>
                  </w:pPr>
                  <w:r>
                    <w:rPr>
                      <w:b/>
                      <w:bCs/>
                      <w:color w:val="000000"/>
                      <w:sz w:val="22"/>
                      <w:szCs w:val="22"/>
                      <w:lang w:val="sv-SE"/>
                    </w:rPr>
                    <w:t>(Đã ký)</w:t>
                  </w:r>
                </w:p>
                <w:p w:rsidR="008863AB" w:rsidRPr="00F02FC4" w:rsidRDefault="008863AB" w:rsidP="008863AB">
                  <w:pPr>
                    <w:spacing w:line="320" w:lineRule="atLeast"/>
                    <w:jc w:val="center"/>
                    <w:rPr>
                      <w:b/>
                      <w:bCs/>
                      <w:color w:val="000000"/>
                      <w:sz w:val="22"/>
                      <w:szCs w:val="22"/>
                      <w:lang w:val="sv-SE"/>
                    </w:rPr>
                  </w:pPr>
                </w:p>
                <w:p w:rsidR="007B4EF3" w:rsidRPr="00F02FC4" w:rsidRDefault="007B4EF3" w:rsidP="008863AB">
                  <w:pPr>
                    <w:spacing w:line="320" w:lineRule="atLeast"/>
                    <w:jc w:val="center"/>
                    <w:rPr>
                      <w:b/>
                      <w:bCs/>
                      <w:color w:val="000000"/>
                      <w:sz w:val="22"/>
                      <w:szCs w:val="22"/>
                      <w:lang w:val="sv-SE"/>
                    </w:rPr>
                  </w:pPr>
                </w:p>
                <w:p w:rsidR="002B10FA" w:rsidRPr="00F02FC4" w:rsidRDefault="002B10FA" w:rsidP="008863AB">
                  <w:pPr>
                    <w:spacing w:line="320" w:lineRule="atLeast"/>
                    <w:jc w:val="center"/>
                    <w:rPr>
                      <w:b/>
                      <w:bCs/>
                      <w:lang w:val="sv-SE"/>
                    </w:rPr>
                  </w:pPr>
                </w:p>
                <w:p w:rsidR="002B10FA" w:rsidRPr="00F02FC4" w:rsidRDefault="002B10FA" w:rsidP="008863AB">
                  <w:pPr>
                    <w:spacing w:line="320" w:lineRule="atLeast"/>
                    <w:jc w:val="center"/>
                    <w:rPr>
                      <w:b/>
                      <w:bCs/>
                      <w:color w:val="000000"/>
                      <w:sz w:val="22"/>
                      <w:szCs w:val="22"/>
                      <w:lang w:val="sv-SE"/>
                    </w:rPr>
                  </w:pPr>
                  <w:r w:rsidRPr="00F02FC4">
                    <w:rPr>
                      <w:b/>
                      <w:bCs/>
                      <w:lang w:val="sv-SE"/>
                    </w:rPr>
                    <w:t>Đỗ Hoàng Anh Tuấn</w:t>
                  </w:r>
                </w:p>
                <w:p w:rsidR="007B4EF3" w:rsidRPr="00F02FC4" w:rsidRDefault="007B4EF3" w:rsidP="008863AB">
                  <w:pPr>
                    <w:pStyle w:val="BodyTextIndent"/>
                    <w:spacing w:before="0" w:line="320" w:lineRule="atLeast"/>
                    <w:ind w:firstLine="0"/>
                    <w:jc w:val="center"/>
                    <w:rPr>
                      <w:lang w:val="sv-SE"/>
                    </w:rPr>
                  </w:pPr>
                </w:p>
              </w:tc>
              <w:tc>
                <w:tcPr>
                  <w:tcW w:w="3342" w:type="dxa"/>
                </w:tcPr>
                <w:p w:rsidR="002B10FA" w:rsidRDefault="002B10FA" w:rsidP="008863AB">
                  <w:pPr>
                    <w:spacing w:line="320" w:lineRule="atLeast"/>
                    <w:jc w:val="center"/>
                    <w:rPr>
                      <w:b/>
                      <w:bCs/>
                      <w:color w:val="000000"/>
                      <w:sz w:val="22"/>
                      <w:szCs w:val="22"/>
                    </w:rPr>
                  </w:pPr>
                  <w:r>
                    <w:rPr>
                      <w:b/>
                      <w:bCs/>
                      <w:color w:val="000000"/>
                      <w:sz w:val="22"/>
                      <w:szCs w:val="22"/>
                    </w:rPr>
                    <w:t>KT. BỘ TRƯỞNG</w:t>
                  </w:r>
                </w:p>
                <w:p w:rsidR="002B10FA" w:rsidRDefault="00B51D17" w:rsidP="008863AB">
                  <w:pPr>
                    <w:spacing w:line="320" w:lineRule="atLeast"/>
                    <w:jc w:val="center"/>
                    <w:rPr>
                      <w:b/>
                      <w:bCs/>
                      <w:color w:val="000000"/>
                      <w:sz w:val="22"/>
                      <w:szCs w:val="22"/>
                    </w:rPr>
                  </w:pPr>
                  <w:r>
                    <w:rPr>
                      <w:b/>
                      <w:bCs/>
                      <w:color w:val="000000"/>
                      <w:sz w:val="22"/>
                      <w:szCs w:val="22"/>
                    </w:rPr>
                    <w:t>BỘ LAO ĐỘNG-</w:t>
                  </w:r>
                  <w:r w:rsidR="002B10FA">
                    <w:rPr>
                      <w:b/>
                      <w:bCs/>
                      <w:color w:val="000000"/>
                      <w:sz w:val="22"/>
                      <w:szCs w:val="22"/>
                    </w:rPr>
                    <w:t>THƯƠNG BINH VÀ XÃ HỘI</w:t>
                  </w:r>
                </w:p>
                <w:p w:rsidR="002B10FA" w:rsidRPr="00F02FC4" w:rsidRDefault="002B10FA" w:rsidP="008863AB">
                  <w:pPr>
                    <w:spacing w:line="320" w:lineRule="atLeast"/>
                    <w:jc w:val="center"/>
                    <w:rPr>
                      <w:b/>
                      <w:bCs/>
                      <w:color w:val="000000"/>
                      <w:sz w:val="22"/>
                      <w:szCs w:val="22"/>
                      <w:lang w:val="pt-BR"/>
                    </w:rPr>
                  </w:pPr>
                  <w:r w:rsidRPr="00F02FC4">
                    <w:rPr>
                      <w:b/>
                      <w:bCs/>
                      <w:color w:val="000000"/>
                      <w:sz w:val="22"/>
                      <w:szCs w:val="22"/>
                      <w:lang w:val="pt-BR"/>
                    </w:rPr>
                    <w:t>THỨ TRƯỞNG</w:t>
                  </w:r>
                </w:p>
                <w:p w:rsidR="007B4EF3" w:rsidRPr="00F02FC4" w:rsidRDefault="007B4EF3" w:rsidP="008863AB">
                  <w:pPr>
                    <w:pStyle w:val="BodyTextIndent"/>
                    <w:spacing w:before="0" w:line="320" w:lineRule="atLeast"/>
                    <w:ind w:firstLine="0"/>
                    <w:jc w:val="center"/>
                    <w:rPr>
                      <w:lang w:val="pt-BR"/>
                    </w:rPr>
                  </w:pPr>
                </w:p>
                <w:p w:rsidR="005D3D19" w:rsidRPr="00F02FC4" w:rsidRDefault="005D3D19" w:rsidP="005D3D19">
                  <w:pPr>
                    <w:spacing w:line="320" w:lineRule="atLeast"/>
                    <w:jc w:val="center"/>
                    <w:rPr>
                      <w:b/>
                      <w:bCs/>
                      <w:color w:val="000000"/>
                      <w:sz w:val="22"/>
                      <w:szCs w:val="22"/>
                      <w:lang w:val="sv-SE"/>
                    </w:rPr>
                  </w:pPr>
                  <w:r>
                    <w:rPr>
                      <w:b/>
                      <w:bCs/>
                      <w:color w:val="000000"/>
                      <w:sz w:val="22"/>
                      <w:szCs w:val="22"/>
                      <w:lang w:val="sv-SE"/>
                    </w:rPr>
                    <w:t>(Đã ký)</w:t>
                  </w:r>
                </w:p>
                <w:p w:rsidR="007B4EF3" w:rsidRPr="00F02FC4" w:rsidRDefault="007B4EF3" w:rsidP="008863AB">
                  <w:pPr>
                    <w:pStyle w:val="BodyTextIndent"/>
                    <w:spacing w:before="0" w:line="320" w:lineRule="atLeast"/>
                    <w:ind w:firstLine="0"/>
                    <w:jc w:val="center"/>
                    <w:rPr>
                      <w:lang w:val="pt-BR"/>
                    </w:rPr>
                  </w:pPr>
                </w:p>
                <w:p w:rsidR="00626497" w:rsidRPr="00F02FC4" w:rsidRDefault="00626497" w:rsidP="008863AB">
                  <w:pPr>
                    <w:pStyle w:val="BodyTextIndent"/>
                    <w:spacing w:before="0" w:line="320" w:lineRule="atLeast"/>
                    <w:ind w:firstLine="0"/>
                    <w:jc w:val="center"/>
                    <w:rPr>
                      <w:b/>
                      <w:bCs/>
                      <w:lang w:val="pt-BR"/>
                    </w:rPr>
                  </w:pPr>
                </w:p>
                <w:p w:rsidR="008863AB" w:rsidRPr="00F02FC4" w:rsidRDefault="008863AB" w:rsidP="008863AB">
                  <w:pPr>
                    <w:pStyle w:val="BodyTextIndent"/>
                    <w:spacing w:before="0" w:line="320" w:lineRule="atLeast"/>
                    <w:ind w:firstLine="0"/>
                    <w:jc w:val="center"/>
                    <w:rPr>
                      <w:b/>
                      <w:bCs/>
                      <w:lang w:val="pt-BR"/>
                    </w:rPr>
                  </w:pPr>
                </w:p>
                <w:p w:rsidR="007B4EF3" w:rsidRPr="00F02FC4" w:rsidRDefault="00B51D17" w:rsidP="008863AB">
                  <w:pPr>
                    <w:pStyle w:val="BodyTextIndent"/>
                    <w:spacing w:before="0" w:line="320" w:lineRule="atLeast"/>
                    <w:ind w:firstLine="0"/>
                    <w:jc w:val="center"/>
                    <w:rPr>
                      <w:b/>
                      <w:bCs/>
                      <w:lang w:val="pt-BR"/>
                    </w:rPr>
                  </w:pPr>
                  <w:r w:rsidRPr="00F02FC4">
                    <w:rPr>
                      <w:b/>
                      <w:bCs/>
                      <w:lang w:val="pt-BR"/>
                    </w:rPr>
                    <w:t>Đàm Hữu Đắc</w:t>
                  </w:r>
                </w:p>
              </w:tc>
              <w:tc>
                <w:tcPr>
                  <w:tcW w:w="3343" w:type="dxa"/>
                </w:tcPr>
                <w:p w:rsidR="007B4EF3" w:rsidRPr="00F02FC4" w:rsidRDefault="007B4EF3" w:rsidP="008863AB">
                  <w:pPr>
                    <w:spacing w:line="320" w:lineRule="atLeast"/>
                    <w:jc w:val="center"/>
                    <w:rPr>
                      <w:b/>
                      <w:bCs/>
                      <w:color w:val="000000"/>
                      <w:sz w:val="22"/>
                      <w:szCs w:val="22"/>
                      <w:lang w:val="pt-BR"/>
                    </w:rPr>
                  </w:pPr>
                  <w:r w:rsidRPr="00F02FC4">
                    <w:rPr>
                      <w:b/>
                      <w:bCs/>
                      <w:color w:val="000000"/>
                      <w:sz w:val="22"/>
                      <w:szCs w:val="22"/>
                      <w:lang w:val="pt-BR"/>
                    </w:rPr>
                    <w:t>KT. BỘ TRƯỞNG</w:t>
                  </w:r>
                </w:p>
                <w:p w:rsidR="007B4EF3" w:rsidRPr="00F02FC4" w:rsidRDefault="007B4EF3" w:rsidP="008863AB">
                  <w:pPr>
                    <w:spacing w:line="320" w:lineRule="atLeast"/>
                    <w:jc w:val="center"/>
                    <w:rPr>
                      <w:b/>
                      <w:bCs/>
                      <w:color w:val="000000"/>
                      <w:sz w:val="22"/>
                      <w:szCs w:val="22"/>
                      <w:lang w:val="pt-BR"/>
                    </w:rPr>
                  </w:pPr>
                  <w:r w:rsidRPr="00F02FC4">
                    <w:rPr>
                      <w:b/>
                      <w:bCs/>
                      <w:color w:val="000000"/>
                      <w:sz w:val="22"/>
                      <w:szCs w:val="22"/>
                      <w:lang w:val="pt-BR"/>
                    </w:rPr>
                    <w:t>BỘ GIÁO DỤC VÀ ĐÀO TẠO</w:t>
                  </w:r>
                </w:p>
                <w:p w:rsidR="007B4EF3" w:rsidRPr="00F02FC4" w:rsidRDefault="007B4EF3" w:rsidP="008863AB">
                  <w:pPr>
                    <w:spacing w:line="320" w:lineRule="atLeast"/>
                    <w:jc w:val="center"/>
                    <w:rPr>
                      <w:b/>
                      <w:bCs/>
                      <w:color w:val="000000"/>
                      <w:sz w:val="22"/>
                      <w:szCs w:val="22"/>
                      <w:lang w:val="pt-BR"/>
                    </w:rPr>
                  </w:pPr>
                  <w:r w:rsidRPr="00F02FC4">
                    <w:rPr>
                      <w:b/>
                      <w:bCs/>
                      <w:color w:val="000000"/>
                      <w:sz w:val="22"/>
                      <w:szCs w:val="22"/>
                      <w:lang w:val="pt-BR"/>
                    </w:rPr>
                    <w:t>THỨ TRƯỞNG</w:t>
                  </w:r>
                </w:p>
                <w:p w:rsidR="007B4EF3" w:rsidRPr="00F02FC4" w:rsidRDefault="007B4EF3" w:rsidP="008863AB">
                  <w:pPr>
                    <w:spacing w:line="320" w:lineRule="atLeast"/>
                    <w:jc w:val="center"/>
                    <w:rPr>
                      <w:b/>
                      <w:bCs/>
                      <w:color w:val="000000"/>
                      <w:sz w:val="22"/>
                      <w:szCs w:val="22"/>
                      <w:lang w:val="pt-BR"/>
                    </w:rPr>
                  </w:pPr>
                </w:p>
                <w:p w:rsidR="007B4EF3" w:rsidRPr="00F02FC4" w:rsidRDefault="007B4EF3" w:rsidP="008863AB">
                  <w:pPr>
                    <w:spacing w:line="320" w:lineRule="atLeast"/>
                    <w:jc w:val="center"/>
                    <w:rPr>
                      <w:b/>
                      <w:bCs/>
                      <w:color w:val="000000"/>
                      <w:sz w:val="22"/>
                      <w:szCs w:val="22"/>
                      <w:lang w:val="pt-BR"/>
                    </w:rPr>
                  </w:pPr>
                </w:p>
                <w:p w:rsidR="005D3D19" w:rsidRPr="00F02FC4" w:rsidRDefault="005D3D19" w:rsidP="005D3D19">
                  <w:pPr>
                    <w:spacing w:line="320" w:lineRule="atLeast"/>
                    <w:jc w:val="center"/>
                    <w:rPr>
                      <w:b/>
                      <w:bCs/>
                      <w:color w:val="000000"/>
                      <w:sz w:val="22"/>
                      <w:szCs w:val="22"/>
                      <w:lang w:val="sv-SE"/>
                    </w:rPr>
                  </w:pPr>
                  <w:r>
                    <w:rPr>
                      <w:b/>
                      <w:bCs/>
                      <w:color w:val="000000"/>
                      <w:sz w:val="22"/>
                      <w:szCs w:val="22"/>
                      <w:lang w:val="sv-SE"/>
                    </w:rPr>
                    <w:t>(Đã ký)</w:t>
                  </w:r>
                </w:p>
                <w:p w:rsidR="007B4EF3" w:rsidRPr="00F02FC4" w:rsidRDefault="007B4EF3" w:rsidP="008863AB">
                  <w:pPr>
                    <w:spacing w:line="320" w:lineRule="atLeast"/>
                    <w:jc w:val="center"/>
                    <w:rPr>
                      <w:b/>
                      <w:bCs/>
                      <w:color w:val="000000"/>
                      <w:sz w:val="22"/>
                      <w:szCs w:val="22"/>
                      <w:lang w:val="pt-BR"/>
                    </w:rPr>
                  </w:pPr>
                </w:p>
                <w:p w:rsidR="007B4EF3" w:rsidRPr="00F02FC4" w:rsidRDefault="007B4EF3" w:rsidP="008863AB">
                  <w:pPr>
                    <w:spacing w:line="320" w:lineRule="atLeast"/>
                    <w:jc w:val="center"/>
                    <w:rPr>
                      <w:b/>
                      <w:bCs/>
                      <w:color w:val="000000"/>
                      <w:sz w:val="22"/>
                      <w:szCs w:val="22"/>
                      <w:lang w:val="pt-BR"/>
                    </w:rPr>
                  </w:pPr>
                </w:p>
                <w:p w:rsidR="00B51D17" w:rsidRPr="00F02FC4" w:rsidRDefault="00B51D17" w:rsidP="008863AB">
                  <w:pPr>
                    <w:pStyle w:val="BodyTextIndent"/>
                    <w:spacing w:before="0" w:line="320" w:lineRule="atLeast"/>
                    <w:ind w:firstLine="0"/>
                    <w:jc w:val="center"/>
                    <w:rPr>
                      <w:b/>
                      <w:bCs/>
                      <w:lang w:val="pt-BR"/>
                    </w:rPr>
                  </w:pPr>
                </w:p>
                <w:p w:rsidR="007B4EF3" w:rsidRPr="00F02FC4" w:rsidRDefault="007B4EF3" w:rsidP="008863AB">
                  <w:pPr>
                    <w:pStyle w:val="BodyTextIndent"/>
                    <w:spacing w:before="0" w:line="320" w:lineRule="atLeast"/>
                    <w:ind w:firstLine="0"/>
                    <w:jc w:val="center"/>
                    <w:rPr>
                      <w:lang w:val="pt-BR"/>
                    </w:rPr>
                  </w:pPr>
                  <w:r w:rsidRPr="00F02FC4">
                    <w:rPr>
                      <w:b/>
                      <w:bCs/>
                      <w:lang w:val="pt-BR"/>
                    </w:rPr>
                    <w:t>Phạm Vũ Luận</w:t>
                  </w:r>
                </w:p>
              </w:tc>
            </w:tr>
          </w:tbl>
          <w:p w:rsidR="007B4EF3" w:rsidRPr="00F02FC4" w:rsidRDefault="007B4EF3" w:rsidP="00626497">
            <w:pPr>
              <w:pStyle w:val="BodyTextIndent"/>
              <w:spacing w:before="0" w:line="340" w:lineRule="atLeast"/>
              <w:ind w:firstLine="0"/>
              <w:rPr>
                <w:lang w:val="pt-BR"/>
              </w:rPr>
            </w:pPr>
          </w:p>
        </w:tc>
      </w:tr>
    </w:tbl>
    <w:p w:rsidR="007B4EF3" w:rsidRDefault="007B4EF3" w:rsidP="00626497">
      <w:pPr>
        <w:rPr>
          <w:b/>
          <w:bCs/>
          <w:i/>
          <w:iCs/>
          <w:color w:val="000000"/>
          <w:sz w:val="24"/>
          <w:szCs w:val="24"/>
        </w:rPr>
      </w:pPr>
      <w:r>
        <w:rPr>
          <w:b/>
          <w:bCs/>
          <w:i/>
          <w:iCs/>
          <w:color w:val="000000"/>
          <w:sz w:val="24"/>
          <w:szCs w:val="24"/>
        </w:rPr>
        <w:t>Nơi nhận:</w:t>
      </w:r>
    </w:p>
    <w:p w:rsidR="007B4EF3" w:rsidRPr="00626497" w:rsidRDefault="007B4EF3" w:rsidP="00626497">
      <w:pPr>
        <w:rPr>
          <w:color w:val="000000"/>
          <w:sz w:val="20"/>
          <w:szCs w:val="20"/>
        </w:rPr>
      </w:pPr>
      <w:r w:rsidRPr="00626497">
        <w:rPr>
          <w:color w:val="000000"/>
          <w:sz w:val="20"/>
          <w:szCs w:val="20"/>
        </w:rPr>
        <w:t>- Thủ tướng, các PTT Chính phủ;</w:t>
      </w:r>
    </w:p>
    <w:p w:rsidR="007B4EF3" w:rsidRPr="00F02FC4" w:rsidRDefault="007B4EF3" w:rsidP="00626497">
      <w:pPr>
        <w:rPr>
          <w:color w:val="000000"/>
          <w:sz w:val="20"/>
          <w:szCs w:val="20"/>
          <w:lang w:val="pt-BR"/>
        </w:rPr>
      </w:pPr>
      <w:r w:rsidRPr="00F02FC4">
        <w:rPr>
          <w:color w:val="000000"/>
          <w:sz w:val="20"/>
          <w:szCs w:val="20"/>
          <w:lang w:val="pt-BR"/>
        </w:rPr>
        <w:t>- VP Chủ tịch Nước;</w:t>
      </w:r>
    </w:p>
    <w:p w:rsidR="007B4EF3" w:rsidRPr="00F02FC4" w:rsidRDefault="007B4EF3" w:rsidP="00626497">
      <w:pPr>
        <w:rPr>
          <w:color w:val="000000"/>
          <w:sz w:val="20"/>
          <w:szCs w:val="20"/>
          <w:lang w:val="pt-BR"/>
        </w:rPr>
      </w:pPr>
      <w:r w:rsidRPr="00F02FC4">
        <w:rPr>
          <w:color w:val="000000"/>
          <w:sz w:val="20"/>
          <w:szCs w:val="20"/>
          <w:lang w:val="pt-BR"/>
        </w:rPr>
        <w:t>- VP Quốc hội; VP Chính phủ;</w:t>
      </w:r>
    </w:p>
    <w:p w:rsidR="007B4EF3" w:rsidRPr="00F02FC4" w:rsidRDefault="007B4EF3" w:rsidP="00626497">
      <w:pPr>
        <w:rPr>
          <w:color w:val="000000"/>
          <w:sz w:val="20"/>
          <w:szCs w:val="20"/>
          <w:lang w:val="pt-BR"/>
        </w:rPr>
      </w:pPr>
      <w:r w:rsidRPr="00F02FC4">
        <w:rPr>
          <w:color w:val="000000"/>
          <w:sz w:val="20"/>
          <w:szCs w:val="20"/>
          <w:lang w:val="pt-BR"/>
        </w:rPr>
        <w:t>- Các Bộ, cơ quan ngang Bộ, cơ quan trực thuộc CP;</w:t>
      </w:r>
    </w:p>
    <w:p w:rsidR="007B4EF3" w:rsidRPr="00626497" w:rsidRDefault="007B4EF3" w:rsidP="00626497">
      <w:pPr>
        <w:rPr>
          <w:color w:val="000000"/>
          <w:sz w:val="20"/>
          <w:szCs w:val="20"/>
        </w:rPr>
      </w:pPr>
      <w:r w:rsidRPr="00626497">
        <w:rPr>
          <w:color w:val="000000"/>
          <w:sz w:val="20"/>
          <w:szCs w:val="20"/>
        </w:rPr>
        <w:t>- HĐND,UBND các tỉnh, thành phố trực thuộc TW;</w:t>
      </w:r>
    </w:p>
    <w:p w:rsidR="007B4EF3" w:rsidRPr="00626497" w:rsidRDefault="007B4EF3" w:rsidP="00626497">
      <w:pPr>
        <w:rPr>
          <w:color w:val="000000"/>
          <w:sz w:val="20"/>
          <w:szCs w:val="20"/>
        </w:rPr>
      </w:pPr>
      <w:r w:rsidRPr="00626497">
        <w:rPr>
          <w:color w:val="000000"/>
          <w:sz w:val="20"/>
          <w:szCs w:val="20"/>
        </w:rPr>
        <w:t>- VP Trung ương và các Ban của Đảng;</w:t>
      </w:r>
    </w:p>
    <w:p w:rsidR="007B4EF3" w:rsidRPr="00F02FC4" w:rsidRDefault="007B4EF3" w:rsidP="00626497">
      <w:pPr>
        <w:rPr>
          <w:color w:val="000000"/>
          <w:sz w:val="20"/>
          <w:szCs w:val="20"/>
          <w:lang w:val="pt-BR"/>
        </w:rPr>
      </w:pPr>
      <w:r w:rsidRPr="00F02FC4">
        <w:rPr>
          <w:color w:val="000000"/>
          <w:sz w:val="20"/>
          <w:szCs w:val="20"/>
          <w:lang w:val="pt-BR"/>
        </w:rPr>
        <w:t>- TANDTC, Viện KSNDTC;</w:t>
      </w:r>
    </w:p>
    <w:p w:rsidR="007B4EF3" w:rsidRPr="00F02FC4" w:rsidRDefault="007B4EF3" w:rsidP="00626497">
      <w:pPr>
        <w:rPr>
          <w:color w:val="000000"/>
          <w:sz w:val="20"/>
          <w:szCs w:val="20"/>
          <w:lang w:val="pt-BR"/>
        </w:rPr>
      </w:pPr>
      <w:r w:rsidRPr="00F02FC4">
        <w:rPr>
          <w:color w:val="000000"/>
          <w:sz w:val="20"/>
          <w:szCs w:val="20"/>
          <w:lang w:val="pt-BR"/>
        </w:rPr>
        <w:t>- Kiểm toán nhà nước;</w:t>
      </w:r>
    </w:p>
    <w:p w:rsidR="007B4EF3" w:rsidRPr="00F02FC4" w:rsidRDefault="007B4EF3" w:rsidP="00626497">
      <w:pPr>
        <w:rPr>
          <w:color w:val="000000"/>
          <w:sz w:val="20"/>
          <w:szCs w:val="20"/>
          <w:lang w:val="pt-BR"/>
        </w:rPr>
      </w:pPr>
      <w:r w:rsidRPr="00F02FC4">
        <w:rPr>
          <w:color w:val="000000"/>
          <w:sz w:val="20"/>
          <w:szCs w:val="20"/>
          <w:lang w:val="pt-BR"/>
        </w:rPr>
        <w:t>- Cơ quan TW của các đoàn thể;</w:t>
      </w:r>
    </w:p>
    <w:p w:rsidR="007B4EF3" w:rsidRPr="00F02FC4" w:rsidRDefault="007B4EF3" w:rsidP="00626497">
      <w:pPr>
        <w:rPr>
          <w:color w:val="000000"/>
          <w:sz w:val="20"/>
          <w:szCs w:val="20"/>
          <w:lang w:val="pt-BR"/>
        </w:rPr>
      </w:pPr>
      <w:r w:rsidRPr="00F02FC4">
        <w:rPr>
          <w:color w:val="000000"/>
          <w:sz w:val="20"/>
          <w:szCs w:val="20"/>
          <w:lang w:val="pt-BR"/>
        </w:rPr>
        <w:t>- Cục kiểm tra văn bản QPPL (Bộ Tư pháp);</w:t>
      </w:r>
    </w:p>
    <w:p w:rsidR="00B51D17" w:rsidRPr="00F02FC4" w:rsidRDefault="007B4EF3" w:rsidP="00626497">
      <w:pPr>
        <w:jc w:val="both"/>
        <w:rPr>
          <w:color w:val="000000"/>
          <w:sz w:val="20"/>
          <w:szCs w:val="20"/>
          <w:lang w:val="pt-BR"/>
        </w:rPr>
      </w:pPr>
      <w:r w:rsidRPr="00F02FC4">
        <w:rPr>
          <w:color w:val="000000"/>
          <w:sz w:val="20"/>
          <w:szCs w:val="20"/>
          <w:lang w:val="pt-BR"/>
        </w:rPr>
        <w:t>- Các Cục, Vụ thuộc Bộ GD&amp;ĐT, Bộ LĐ-TB &amp;XH</w:t>
      </w:r>
      <w:r w:rsidR="00B51D17" w:rsidRPr="00F02FC4">
        <w:rPr>
          <w:color w:val="000000"/>
          <w:sz w:val="20"/>
          <w:szCs w:val="20"/>
          <w:lang w:val="pt-BR"/>
        </w:rPr>
        <w:t>, Bộ TC;</w:t>
      </w:r>
    </w:p>
    <w:p w:rsidR="007B4EF3" w:rsidRPr="00F02FC4" w:rsidRDefault="007B4EF3" w:rsidP="00626497">
      <w:pPr>
        <w:rPr>
          <w:color w:val="000000"/>
          <w:sz w:val="20"/>
          <w:szCs w:val="20"/>
          <w:lang w:val="pt-BR"/>
        </w:rPr>
      </w:pPr>
      <w:r w:rsidRPr="00F02FC4">
        <w:rPr>
          <w:color w:val="000000"/>
          <w:sz w:val="20"/>
          <w:szCs w:val="20"/>
          <w:lang w:val="pt-BR"/>
        </w:rPr>
        <w:t>- Công báo;</w:t>
      </w:r>
    </w:p>
    <w:p w:rsidR="007B4EF3" w:rsidRPr="00F02FC4" w:rsidRDefault="007B4EF3" w:rsidP="00626497">
      <w:pPr>
        <w:rPr>
          <w:color w:val="000000"/>
          <w:sz w:val="20"/>
          <w:szCs w:val="20"/>
          <w:lang w:val="pt-BR"/>
        </w:rPr>
      </w:pPr>
      <w:r w:rsidRPr="00F02FC4">
        <w:rPr>
          <w:color w:val="000000"/>
          <w:sz w:val="20"/>
          <w:szCs w:val="20"/>
          <w:lang w:val="pt-BR"/>
        </w:rPr>
        <w:t>- Website Chính phủ;</w:t>
      </w:r>
    </w:p>
    <w:p w:rsidR="007B4EF3" w:rsidRPr="00F02FC4" w:rsidRDefault="007B4EF3" w:rsidP="00626497">
      <w:pPr>
        <w:rPr>
          <w:color w:val="000000"/>
          <w:sz w:val="20"/>
          <w:szCs w:val="20"/>
          <w:lang w:val="pt-BR"/>
        </w:rPr>
      </w:pPr>
      <w:r w:rsidRPr="00F02FC4">
        <w:rPr>
          <w:color w:val="000000"/>
          <w:sz w:val="20"/>
          <w:szCs w:val="20"/>
          <w:lang w:val="pt-BR"/>
        </w:rPr>
        <w:t>- Website của Bộ GD&amp;ĐT;</w:t>
      </w:r>
    </w:p>
    <w:p w:rsidR="007B4EF3" w:rsidRPr="00F02FC4" w:rsidRDefault="007B4EF3" w:rsidP="00626497">
      <w:pPr>
        <w:rPr>
          <w:sz w:val="20"/>
          <w:szCs w:val="20"/>
          <w:lang w:val="pt-BR"/>
        </w:rPr>
      </w:pPr>
      <w:r w:rsidRPr="00F02FC4">
        <w:rPr>
          <w:color w:val="000000"/>
          <w:sz w:val="20"/>
          <w:szCs w:val="20"/>
          <w:lang w:val="pt-BR"/>
        </w:rPr>
        <w:t>- Lưu: VT Bộ GD&amp;ĐT,  Bộ LĐ-TB&amp;XH</w:t>
      </w:r>
      <w:r w:rsidR="00B51D17" w:rsidRPr="00F02FC4">
        <w:rPr>
          <w:color w:val="000000"/>
          <w:sz w:val="20"/>
          <w:szCs w:val="20"/>
          <w:lang w:val="pt-BR"/>
        </w:rPr>
        <w:t>, Bộ TC.</w:t>
      </w:r>
    </w:p>
    <w:p w:rsidR="007B4EF3" w:rsidRPr="00F02FC4" w:rsidRDefault="007B4EF3" w:rsidP="00626497">
      <w:pPr>
        <w:rPr>
          <w:lang w:val="pt-BR"/>
        </w:rPr>
      </w:pPr>
    </w:p>
    <w:p w:rsidR="007B4EF3" w:rsidRPr="00F02FC4" w:rsidRDefault="007B4EF3">
      <w:pPr>
        <w:rPr>
          <w:lang w:val="pt-BR"/>
        </w:rPr>
      </w:pPr>
    </w:p>
    <w:p w:rsidR="007B4EF3" w:rsidRPr="00F02FC4" w:rsidRDefault="007B4EF3">
      <w:pPr>
        <w:rPr>
          <w:lang w:val="pt-BR"/>
        </w:rPr>
      </w:pPr>
    </w:p>
    <w:p w:rsidR="007B4EF3" w:rsidRPr="00F02FC4" w:rsidRDefault="007B4EF3">
      <w:pPr>
        <w:rPr>
          <w:color w:val="000000"/>
          <w:sz w:val="24"/>
          <w:szCs w:val="24"/>
          <w:lang w:val="pt-BR"/>
        </w:rPr>
      </w:pPr>
    </w:p>
    <w:p w:rsidR="007B4EF3" w:rsidRPr="00F02FC4" w:rsidRDefault="007B4EF3">
      <w:pPr>
        <w:rPr>
          <w:lang w:val="pt-BR"/>
        </w:rPr>
      </w:pPr>
    </w:p>
    <w:p w:rsidR="007B4EF3" w:rsidRPr="00F02FC4" w:rsidRDefault="007B4EF3">
      <w:pPr>
        <w:rPr>
          <w:lang w:val="pt-BR"/>
        </w:rPr>
      </w:pPr>
    </w:p>
    <w:sectPr w:rsidR="007B4EF3" w:rsidRPr="00F02FC4" w:rsidSect="0087077B">
      <w:headerReference w:type="default" r:id="rId7"/>
      <w:footerReference w:type="default" r:id="rId8"/>
      <w:footerReference w:type="first" r:id="rId9"/>
      <w:pgSz w:w="11907" w:h="16840"/>
      <w:pgMar w:top="1304" w:right="1134" w:bottom="964" w:left="1701" w:header="720" w:footer="720" w:gutter="0"/>
      <w:paperSrc w:first="261" w:other="261"/>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E68" w:rsidRDefault="00BA4E68">
      <w:r>
        <w:separator/>
      </w:r>
    </w:p>
  </w:endnote>
  <w:endnote w:type="continuationSeparator" w:id="0">
    <w:p w:rsidR="00BA4E68" w:rsidRDefault="00BA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C4" w:rsidRDefault="00F02FC4" w:rsidP="005D3D1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1DF0">
      <w:rPr>
        <w:rStyle w:val="PageNumber"/>
        <w:noProof/>
      </w:rPr>
      <w:t>2</w:t>
    </w:r>
    <w:r>
      <w:rPr>
        <w:rStyle w:val="PageNumber"/>
      </w:rPr>
      <w:fldChar w:fldCharType="end"/>
    </w:r>
  </w:p>
  <w:p w:rsidR="00F02FC4" w:rsidRDefault="00F02FC4">
    <w:pPr>
      <w:pStyle w:val="Footer"/>
      <w:ind w:right="36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C4" w:rsidRDefault="00F02FC4">
    <w:pPr>
      <w:pStyle w:val="Footer"/>
      <w:rPr>
        <w:sz w:val="18"/>
        <w:szCs w:val="18"/>
      </w:rPr>
    </w:pPr>
  </w:p>
  <w:p w:rsidR="00F02FC4" w:rsidRDefault="00F02FC4">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E68" w:rsidRDefault="00BA4E68">
      <w:r>
        <w:separator/>
      </w:r>
    </w:p>
  </w:footnote>
  <w:footnote w:type="continuationSeparator" w:id="0">
    <w:p w:rsidR="00BA4E68" w:rsidRDefault="00BA4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C4" w:rsidRDefault="00F02FC4">
    <w:pPr>
      <w:pStyle w:val="Header"/>
      <w:framePr w:wrap="auto" w:vAnchor="text" w:hAnchor="margin" w:xAlign="center" w:y="1"/>
      <w:rPr>
        <w:rStyle w:val="PageNumber"/>
      </w:rPr>
    </w:pPr>
  </w:p>
  <w:p w:rsidR="00F02FC4" w:rsidRDefault="00F02F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20"/>
  <w:doNotHyphenateCaps/>
  <w:drawingGridHorizontalSpacing w:val="109"/>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86A"/>
    <w:rsid w:val="00025037"/>
    <w:rsid w:val="00060327"/>
    <w:rsid w:val="00080AF4"/>
    <w:rsid w:val="00090D6A"/>
    <w:rsid w:val="000C3193"/>
    <w:rsid w:val="00114D6C"/>
    <w:rsid w:val="001E74CC"/>
    <w:rsid w:val="00205CB5"/>
    <w:rsid w:val="00255D70"/>
    <w:rsid w:val="00276609"/>
    <w:rsid w:val="002839B2"/>
    <w:rsid w:val="002849FB"/>
    <w:rsid w:val="00292100"/>
    <w:rsid w:val="002B10FA"/>
    <w:rsid w:val="00340460"/>
    <w:rsid w:val="0036181B"/>
    <w:rsid w:val="003F0A20"/>
    <w:rsid w:val="003F7CB3"/>
    <w:rsid w:val="0044192D"/>
    <w:rsid w:val="004A2C9F"/>
    <w:rsid w:val="004B4931"/>
    <w:rsid w:val="004F4E3A"/>
    <w:rsid w:val="0051157A"/>
    <w:rsid w:val="005265D4"/>
    <w:rsid w:val="00576200"/>
    <w:rsid w:val="00590716"/>
    <w:rsid w:val="005C2207"/>
    <w:rsid w:val="005D3D19"/>
    <w:rsid w:val="005E5E2F"/>
    <w:rsid w:val="0062473C"/>
    <w:rsid w:val="00626497"/>
    <w:rsid w:val="0067507E"/>
    <w:rsid w:val="00676D62"/>
    <w:rsid w:val="00691E39"/>
    <w:rsid w:val="006A1DF0"/>
    <w:rsid w:val="006A77BA"/>
    <w:rsid w:val="0073735B"/>
    <w:rsid w:val="007554D8"/>
    <w:rsid w:val="00764FBF"/>
    <w:rsid w:val="00782685"/>
    <w:rsid w:val="007A7BFC"/>
    <w:rsid w:val="007B4EF3"/>
    <w:rsid w:val="007D6629"/>
    <w:rsid w:val="00820C29"/>
    <w:rsid w:val="0082286A"/>
    <w:rsid w:val="008248DF"/>
    <w:rsid w:val="008358BE"/>
    <w:rsid w:val="008565F1"/>
    <w:rsid w:val="0087077B"/>
    <w:rsid w:val="00874A8B"/>
    <w:rsid w:val="00877AF1"/>
    <w:rsid w:val="008863AB"/>
    <w:rsid w:val="008A2C18"/>
    <w:rsid w:val="008B071F"/>
    <w:rsid w:val="008F4A7A"/>
    <w:rsid w:val="009831D5"/>
    <w:rsid w:val="009907D5"/>
    <w:rsid w:val="00A257AE"/>
    <w:rsid w:val="00A35C39"/>
    <w:rsid w:val="00A549F9"/>
    <w:rsid w:val="00A83A6C"/>
    <w:rsid w:val="00AE4953"/>
    <w:rsid w:val="00AF0EA7"/>
    <w:rsid w:val="00B02D39"/>
    <w:rsid w:val="00B165D5"/>
    <w:rsid w:val="00B20116"/>
    <w:rsid w:val="00B43E25"/>
    <w:rsid w:val="00B51D17"/>
    <w:rsid w:val="00B55A4C"/>
    <w:rsid w:val="00B55E38"/>
    <w:rsid w:val="00BA1DF3"/>
    <w:rsid w:val="00BA4E68"/>
    <w:rsid w:val="00C33A8D"/>
    <w:rsid w:val="00C5003D"/>
    <w:rsid w:val="00C93A1D"/>
    <w:rsid w:val="00CA5E71"/>
    <w:rsid w:val="00CF5A6A"/>
    <w:rsid w:val="00D63E44"/>
    <w:rsid w:val="00DB61DA"/>
    <w:rsid w:val="00DF216C"/>
    <w:rsid w:val="00DF7DD2"/>
    <w:rsid w:val="00E330E6"/>
    <w:rsid w:val="00F02FC4"/>
    <w:rsid w:val="00F05F30"/>
    <w:rsid w:val="00F07EB2"/>
    <w:rsid w:val="00F12503"/>
    <w:rsid w:val="00F36290"/>
    <w:rsid w:val="00FA612B"/>
    <w:rsid w:val="00FB55A7"/>
    <w:rsid w:val="00FC4A2E"/>
    <w:rsid w:val="00FC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8"/>
      <w:szCs w:val="28"/>
    </w:rPr>
  </w:style>
  <w:style w:type="paragraph" w:styleId="Heading1">
    <w:name w:val="heading 1"/>
    <w:basedOn w:val="Normal"/>
    <w:next w:val="Normal"/>
    <w:link w:val="Heading1Char"/>
    <w:uiPriority w:val="99"/>
    <w:qFormat/>
    <w:pPr>
      <w:keepNext/>
      <w:jc w:val="center"/>
      <w:outlineLvl w:val="0"/>
    </w:pPr>
    <w:rPr>
      <w:b/>
      <w:bCs/>
      <w:color w:val="000000"/>
      <w:sz w:val="26"/>
      <w:szCs w:val="26"/>
    </w:rPr>
  </w:style>
  <w:style w:type="paragraph" w:styleId="Heading2">
    <w:name w:val="heading 2"/>
    <w:basedOn w:val="Normal"/>
    <w:next w:val="Normal"/>
    <w:link w:val="Heading2Char"/>
    <w:uiPriority w:val="99"/>
    <w:qFormat/>
    <w:pPr>
      <w:keepNext/>
      <w:jc w:val="center"/>
      <w:outlineLvl w:val="1"/>
    </w:pPr>
    <w:rPr>
      <w:b/>
      <w:bCs/>
      <w:color w:val="000000"/>
      <w:sz w:val="24"/>
      <w:szCs w:val="24"/>
    </w:rPr>
  </w:style>
  <w:style w:type="paragraph" w:styleId="Heading3">
    <w:name w:val="heading 3"/>
    <w:basedOn w:val="Normal"/>
    <w:next w:val="Normal"/>
    <w:link w:val="Heading3Char"/>
    <w:uiPriority w:val="99"/>
    <w:qFormat/>
    <w:pPr>
      <w:keepNext/>
      <w:spacing w:line="360" w:lineRule="atLeast"/>
      <w:jc w:val="both"/>
      <w:outlineLvl w:val="2"/>
    </w:pPr>
    <w:rPr>
      <w:b/>
      <w:bCs/>
      <w:color w:val="000000"/>
      <w:lang w:val="sv-SE"/>
    </w:rPr>
  </w:style>
  <w:style w:type="paragraph" w:styleId="Heading4">
    <w:name w:val="heading 4"/>
    <w:basedOn w:val="Normal"/>
    <w:next w:val="Normal"/>
    <w:link w:val="Heading4Char"/>
    <w:uiPriority w:val="99"/>
    <w:qFormat/>
    <w:pPr>
      <w:keepNext/>
      <w:spacing w:line="360" w:lineRule="atLeast"/>
      <w:jc w:val="center"/>
      <w:outlineLvl w:val="3"/>
    </w:pPr>
    <w:rPr>
      <w:rFonts w:ascii="Arial" w:hAnsi="Arial" w:cs="Arial"/>
      <w:b/>
      <w:bCs/>
    </w:rPr>
  </w:style>
  <w:style w:type="paragraph" w:styleId="Heading5">
    <w:name w:val="heading 5"/>
    <w:basedOn w:val="Normal"/>
    <w:next w:val="Normal"/>
    <w:link w:val="Heading5Char"/>
    <w:uiPriority w:val="99"/>
    <w:qFormat/>
    <w:pPr>
      <w:keepNext/>
      <w:spacing w:line="240" w:lineRule="atLeast"/>
      <w:outlineLvl w:val="4"/>
    </w:pPr>
    <w:rPr>
      <w:b/>
      <w:bCs/>
      <w:color w:val="000000"/>
    </w:rPr>
  </w:style>
  <w:style w:type="paragraph" w:styleId="Heading6">
    <w:name w:val="heading 6"/>
    <w:basedOn w:val="Normal"/>
    <w:next w:val="Normal"/>
    <w:link w:val="Heading6Char"/>
    <w:uiPriority w:val="99"/>
    <w:qFormat/>
    <w:pPr>
      <w:keepNext/>
      <w:spacing w:line="240" w:lineRule="atLeast"/>
      <w:jc w:val="center"/>
      <w:outlineLvl w:val="5"/>
    </w:pPr>
    <w:rPr>
      <w:b/>
      <w:bCs/>
      <w:color w:val="000000"/>
      <w:sz w:val="22"/>
      <w:szCs w:val="22"/>
    </w:rPr>
  </w:style>
  <w:style w:type="paragraph" w:styleId="Heading7">
    <w:name w:val="heading 7"/>
    <w:basedOn w:val="Normal"/>
    <w:next w:val="Normal"/>
    <w:link w:val="Heading7Char"/>
    <w:uiPriority w:val="99"/>
    <w:qFormat/>
    <w:pPr>
      <w:keepNext/>
      <w:spacing w:line="240" w:lineRule="atLeast"/>
      <w:jc w:val="center"/>
      <w:outlineLvl w:val="6"/>
    </w:pPr>
    <w:rPr>
      <w:b/>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styleId="Footer">
    <w:name w:val="footer"/>
    <w:basedOn w:val="Normal"/>
    <w:link w:val="FooterChar"/>
    <w:uiPriority w:val="99"/>
    <w:pPr>
      <w:tabs>
        <w:tab w:val="center" w:pos="4320"/>
        <w:tab w:val="right" w:pos="8640"/>
      </w:tabs>
    </w:pPr>
    <w:rPr>
      <w:lang w:val="en-GB"/>
    </w:rPr>
  </w:style>
  <w:style w:type="character" w:customStyle="1" w:styleId="FooterChar">
    <w:name w:val="Footer Char"/>
    <w:basedOn w:val="DefaultParagraphFont"/>
    <w:link w:val="Footer"/>
    <w:uiPriority w:val="99"/>
    <w:semiHidden/>
    <w:rPr>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8"/>
      <w:szCs w:val="28"/>
    </w:rPr>
  </w:style>
  <w:style w:type="paragraph" w:styleId="BodyText">
    <w:name w:val="Body Text"/>
    <w:basedOn w:val="Normal"/>
    <w:link w:val="BodyTextChar"/>
    <w:uiPriority w:val="99"/>
    <w:pPr>
      <w:jc w:val="center"/>
    </w:pPr>
    <w:rPr>
      <w:b/>
      <w:bCs/>
      <w:color w:val="000000"/>
      <w:sz w:val="24"/>
      <w:szCs w:val="24"/>
    </w:rPr>
  </w:style>
  <w:style w:type="character" w:customStyle="1" w:styleId="BodyTextChar">
    <w:name w:val="Body Text Char"/>
    <w:basedOn w:val="DefaultParagraphFont"/>
    <w:link w:val="BodyText"/>
    <w:uiPriority w:val="99"/>
    <w:semiHidden/>
    <w:rPr>
      <w:sz w:val="28"/>
      <w:szCs w:val="28"/>
    </w:rPr>
  </w:style>
  <w:style w:type="paragraph" w:styleId="BodyText2">
    <w:name w:val="Body Text 2"/>
    <w:basedOn w:val="Normal"/>
    <w:link w:val="BodyText2Char"/>
    <w:uiPriority w:val="99"/>
    <w:pPr>
      <w:spacing w:before="120"/>
      <w:jc w:val="center"/>
    </w:pPr>
    <w:rPr>
      <w:rFonts w:ascii="Arial" w:hAnsi="Arial" w:cs="Arial"/>
      <w:color w:val="000000"/>
      <w:sz w:val="24"/>
      <w:szCs w:val="24"/>
    </w:rPr>
  </w:style>
  <w:style w:type="character" w:customStyle="1" w:styleId="BodyText2Char">
    <w:name w:val="Body Text 2 Char"/>
    <w:basedOn w:val="DefaultParagraphFont"/>
    <w:link w:val="BodyText2"/>
    <w:uiPriority w:val="99"/>
    <w:semiHidden/>
    <w:rPr>
      <w:sz w:val="28"/>
      <w:szCs w:val="28"/>
    </w:rPr>
  </w:style>
  <w:style w:type="paragraph" w:styleId="BodyTextIndent">
    <w:name w:val="Body Text Indent"/>
    <w:basedOn w:val="Normal"/>
    <w:link w:val="BodyTextIndentChar"/>
    <w:uiPriority w:val="99"/>
    <w:pPr>
      <w:spacing w:before="120" w:line="360" w:lineRule="atLeast"/>
      <w:ind w:firstLine="720"/>
      <w:jc w:val="both"/>
    </w:pPr>
  </w:style>
  <w:style w:type="character" w:customStyle="1" w:styleId="BodyTextIndentChar">
    <w:name w:val="Body Text Indent Char"/>
    <w:basedOn w:val="DefaultParagraphFont"/>
    <w:link w:val="BodyTextIndent"/>
    <w:uiPriority w:val="99"/>
    <w:semiHidden/>
    <w:rPr>
      <w:sz w:val="28"/>
      <w:szCs w:val="28"/>
    </w:rPr>
  </w:style>
  <w:style w:type="character" w:styleId="PageNumber">
    <w:name w:val="page number"/>
    <w:basedOn w:val="DefaultParagraphFont"/>
    <w:uiPriority w:val="99"/>
  </w:style>
  <w:style w:type="paragraph" w:styleId="BodyText3">
    <w:name w:val="Body Text 3"/>
    <w:basedOn w:val="Normal"/>
    <w:link w:val="BodyText3Char"/>
    <w:uiPriority w:val="99"/>
    <w:pPr>
      <w:spacing w:line="360" w:lineRule="atLeast"/>
      <w:jc w:val="center"/>
    </w:pPr>
  </w:style>
  <w:style w:type="character" w:customStyle="1" w:styleId="BodyText3Char">
    <w:name w:val="Body Text 3 Char"/>
    <w:basedOn w:val="DefaultParagraphFont"/>
    <w:link w:val="BodyText3"/>
    <w:uiPriority w:val="99"/>
    <w:semiHidden/>
    <w:rPr>
      <w:sz w:val="16"/>
      <w:szCs w:val="16"/>
    </w:rPr>
  </w:style>
  <w:style w:type="paragraph" w:styleId="DocumentMap">
    <w:name w:val="Document Map"/>
    <w:basedOn w:val="Normal"/>
    <w:link w:val="DocumentMapChar"/>
    <w:uiPriority w:val="99"/>
    <w:semiHidden/>
    <w:rsid w:val="0057620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8"/>
      <w:szCs w:val="28"/>
    </w:rPr>
  </w:style>
  <w:style w:type="paragraph" w:styleId="Heading1">
    <w:name w:val="heading 1"/>
    <w:basedOn w:val="Normal"/>
    <w:next w:val="Normal"/>
    <w:link w:val="Heading1Char"/>
    <w:uiPriority w:val="99"/>
    <w:qFormat/>
    <w:pPr>
      <w:keepNext/>
      <w:jc w:val="center"/>
      <w:outlineLvl w:val="0"/>
    </w:pPr>
    <w:rPr>
      <w:b/>
      <w:bCs/>
      <w:color w:val="000000"/>
      <w:sz w:val="26"/>
      <w:szCs w:val="26"/>
    </w:rPr>
  </w:style>
  <w:style w:type="paragraph" w:styleId="Heading2">
    <w:name w:val="heading 2"/>
    <w:basedOn w:val="Normal"/>
    <w:next w:val="Normal"/>
    <w:link w:val="Heading2Char"/>
    <w:uiPriority w:val="99"/>
    <w:qFormat/>
    <w:pPr>
      <w:keepNext/>
      <w:jc w:val="center"/>
      <w:outlineLvl w:val="1"/>
    </w:pPr>
    <w:rPr>
      <w:b/>
      <w:bCs/>
      <w:color w:val="000000"/>
      <w:sz w:val="24"/>
      <w:szCs w:val="24"/>
    </w:rPr>
  </w:style>
  <w:style w:type="paragraph" w:styleId="Heading3">
    <w:name w:val="heading 3"/>
    <w:basedOn w:val="Normal"/>
    <w:next w:val="Normal"/>
    <w:link w:val="Heading3Char"/>
    <w:uiPriority w:val="99"/>
    <w:qFormat/>
    <w:pPr>
      <w:keepNext/>
      <w:spacing w:line="360" w:lineRule="atLeast"/>
      <w:jc w:val="both"/>
      <w:outlineLvl w:val="2"/>
    </w:pPr>
    <w:rPr>
      <w:b/>
      <w:bCs/>
      <w:color w:val="000000"/>
      <w:lang w:val="sv-SE"/>
    </w:rPr>
  </w:style>
  <w:style w:type="paragraph" w:styleId="Heading4">
    <w:name w:val="heading 4"/>
    <w:basedOn w:val="Normal"/>
    <w:next w:val="Normal"/>
    <w:link w:val="Heading4Char"/>
    <w:uiPriority w:val="99"/>
    <w:qFormat/>
    <w:pPr>
      <w:keepNext/>
      <w:spacing w:line="360" w:lineRule="atLeast"/>
      <w:jc w:val="center"/>
      <w:outlineLvl w:val="3"/>
    </w:pPr>
    <w:rPr>
      <w:rFonts w:ascii="Arial" w:hAnsi="Arial" w:cs="Arial"/>
      <w:b/>
      <w:bCs/>
    </w:rPr>
  </w:style>
  <w:style w:type="paragraph" w:styleId="Heading5">
    <w:name w:val="heading 5"/>
    <w:basedOn w:val="Normal"/>
    <w:next w:val="Normal"/>
    <w:link w:val="Heading5Char"/>
    <w:uiPriority w:val="99"/>
    <w:qFormat/>
    <w:pPr>
      <w:keepNext/>
      <w:spacing w:line="240" w:lineRule="atLeast"/>
      <w:outlineLvl w:val="4"/>
    </w:pPr>
    <w:rPr>
      <w:b/>
      <w:bCs/>
      <w:color w:val="000000"/>
    </w:rPr>
  </w:style>
  <w:style w:type="paragraph" w:styleId="Heading6">
    <w:name w:val="heading 6"/>
    <w:basedOn w:val="Normal"/>
    <w:next w:val="Normal"/>
    <w:link w:val="Heading6Char"/>
    <w:uiPriority w:val="99"/>
    <w:qFormat/>
    <w:pPr>
      <w:keepNext/>
      <w:spacing w:line="240" w:lineRule="atLeast"/>
      <w:jc w:val="center"/>
      <w:outlineLvl w:val="5"/>
    </w:pPr>
    <w:rPr>
      <w:b/>
      <w:bCs/>
      <w:color w:val="000000"/>
      <w:sz w:val="22"/>
      <w:szCs w:val="22"/>
    </w:rPr>
  </w:style>
  <w:style w:type="paragraph" w:styleId="Heading7">
    <w:name w:val="heading 7"/>
    <w:basedOn w:val="Normal"/>
    <w:next w:val="Normal"/>
    <w:link w:val="Heading7Char"/>
    <w:uiPriority w:val="99"/>
    <w:qFormat/>
    <w:pPr>
      <w:keepNext/>
      <w:spacing w:line="240" w:lineRule="atLeast"/>
      <w:jc w:val="center"/>
      <w:outlineLvl w:val="6"/>
    </w:pPr>
    <w:rPr>
      <w:b/>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styleId="Footer">
    <w:name w:val="footer"/>
    <w:basedOn w:val="Normal"/>
    <w:link w:val="FooterChar"/>
    <w:uiPriority w:val="99"/>
    <w:pPr>
      <w:tabs>
        <w:tab w:val="center" w:pos="4320"/>
        <w:tab w:val="right" w:pos="8640"/>
      </w:tabs>
    </w:pPr>
    <w:rPr>
      <w:lang w:val="en-GB"/>
    </w:rPr>
  </w:style>
  <w:style w:type="character" w:customStyle="1" w:styleId="FooterChar">
    <w:name w:val="Footer Char"/>
    <w:basedOn w:val="DefaultParagraphFont"/>
    <w:link w:val="Footer"/>
    <w:uiPriority w:val="99"/>
    <w:semiHidden/>
    <w:rPr>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8"/>
      <w:szCs w:val="28"/>
    </w:rPr>
  </w:style>
  <w:style w:type="paragraph" w:styleId="BodyText">
    <w:name w:val="Body Text"/>
    <w:basedOn w:val="Normal"/>
    <w:link w:val="BodyTextChar"/>
    <w:uiPriority w:val="99"/>
    <w:pPr>
      <w:jc w:val="center"/>
    </w:pPr>
    <w:rPr>
      <w:b/>
      <w:bCs/>
      <w:color w:val="000000"/>
      <w:sz w:val="24"/>
      <w:szCs w:val="24"/>
    </w:rPr>
  </w:style>
  <w:style w:type="character" w:customStyle="1" w:styleId="BodyTextChar">
    <w:name w:val="Body Text Char"/>
    <w:basedOn w:val="DefaultParagraphFont"/>
    <w:link w:val="BodyText"/>
    <w:uiPriority w:val="99"/>
    <w:semiHidden/>
    <w:rPr>
      <w:sz w:val="28"/>
      <w:szCs w:val="28"/>
    </w:rPr>
  </w:style>
  <w:style w:type="paragraph" w:styleId="BodyText2">
    <w:name w:val="Body Text 2"/>
    <w:basedOn w:val="Normal"/>
    <w:link w:val="BodyText2Char"/>
    <w:uiPriority w:val="99"/>
    <w:pPr>
      <w:spacing w:before="120"/>
      <w:jc w:val="center"/>
    </w:pPr>
    <w:rPr>
      <w:rFonts w:ascii="Arial" w:hAnsi="Arial" w:cs="Arial"/>
      <w:color w:val="000000"/>
      <w:sz w:val="24"/>
      <w:szCs w:val="24"/>
    </w:rPr>
  </w:style>
  <w:style w:type="character" w:customStyle="1" w:styleId="BodyText2Char">
    <w:name w:val="Body Text 2 Char"/>
    <w:basedOn w:val="DefaultParagraphFont"/>
    <w:link w:val="BodyText2"/>
    <w:uiPriority w:val="99"/>
    <w:semiHidden/>
    <w:rPr>
      <w:sz w:val="28"/>
      <w:szCs w:val="28"/>
    </w:rPr>
  </w:style>
  <w:style w:type="paragraph" w:styleId="BodyTextIndent">
    <w:name w:val="Body Text Indent"/>
    <w:basedOn w:val="Normal"/>
    <w:link w:val="BodyTextIndentChar"/>
    <w:uiPriority w:val="99"/>
    <w:pPr>
      <w:spacing w:before="120" w:line="360" w:lineRule="atLeast"/>
      <w:ind w:firstLine="720"/>
      <w:jc w:val="both"/>
    </w:pPr>
  </w:style>
  <w:style w:type="character" w:customStyle="1" w:styleId="BodyTextIndentChar">
    <w:name w:val="Body Text Indent Char"/>
    <w:basedOn w:val="DefaultParagraphFont"/>
    <w:link w:val="BodyTextIndent"/>
    <w:uiPriority w:val="99"/>
    <w:semiHidden/>
    <w:rPr>
      <w:sz w:val="28"/>
      <w:szCs w:val="28"/>
    </w:rPr>
  </w:style>
  <w:style w:type="character" w:styleId="PageNumber">
    <w:name w:val="page number"/>
    <w:basedOn w:val="DefaultParagraphFont"/>
    <w:uiPriority w:val="99"/>
  </w:style>
  <w:style w:type="paragraph" w:styleId="BodyText3">
    <w:name w:val="Body Text 3"/>
    <w:basedOn w:val="Normal"/>
    <w:link w:val="BodyText3Char"/>
    <w:uiPriority w:val="99"/>
    <w:pPr>
      <w:spacing w:line="360" w:lineRule="atLeast"/>
      <w:jc w:val="center"/>
    </w:pPr>
  </w:style>
  <w:style w:type="character" w:customStyle="1" w:styleId="BodyText3Char">
    <w:name w:val="Body Text 3 Char"/>
    <w:basedOn w:val="DefaultParagraphFont"/>
    <w:link w:val="BodyText3"/>
    <w:uiPriority w:val="99"/>
    <w:semiHidden/>
    <w:rPr>
      <w:sz w:val="16"/>
      <w:szCs w:val="16"/>
    </w:rPr>
  </w:style>
  <w:style w:type="paragraph" w:styleId="DocumentMap">
    <w:name w:val="Document Map"/>
    <w:basedOn w:val="Normal"/>
    <w:link w:val="DocumentMapChar"/>
    <w:uiPriority w:val="99"/>
    <w:semiHidden/>
    <w:rsid w:val="0057620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liªn tÞch</vt:lpstr>
    </vt:vector>
  </TitlesOfParts>
  <Company>WSCP</Company>
  <LinksUpToDate>false</LinksUpToDate>
  <CharactersWithSpaces>15528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liªn tÞch</dc:title>
  <dc:creator>admin</dc:creator>
  <cp:lastModifiedBy>Windows User</cp:lastModifiedBy>
  <cp:revision>2</cp:revision>
  <cp:lastPrinted>2008-05-03T10:31:00Z</cp:lastPrinted>
  <dcterms:created xsi:type="dcterms:W3CDTF">2016-03-28T01:44:00Z</dcterms:created>
  <dcterms:modified xsi:type="dcterms:W3CDTF">2016-03-28T01:44:00Z</dcterms:modified>
</cp:coreProperties>
</file>